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91E44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附件1</w:t>
      </w:r>
    </w:p>
    <w:p w14:paraId="2FE903A9">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color w:val="auto"/>
          <w:sz w:val="32"/>
          <w:szCs w:val="32"/>
          <w:highlight w:val="none"/>
          <w:lang w:val="en-US" w:eastAsia="zh-CN"/>
        </w:rPr>
      </w:pPr>
    </w:p>
    <w:p w14:paraId="4F791AB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center"/>
        <w:textAlignment w:val="auto"/>
        <w:rPr>
          <w:rFonts w:ascii="小标宋" w:hAnsi="小标宋" w:eastAsia="小标宋" w:cs="小标宋"/>
          <w:b/>
          <w:bCs/>
          <w:color w:val="auto"/>
          <w:sz w:val="44"/>
          <w:szCs w:val="44"/>
          <w:highlight w:val="none"/>
          <w:shd w:val="clear" w:color="auto" w:fill="FFFFFF"/>
        </w:rPr>
      </w:pPr>
      <w:r>
        <w:rPr>
          <w:rFonts w:hint="eastAsia" w:ascii="小标宋" w:hAnsi="小标宋" w:eastAsia="小标宋" w:cs="小标宋"/>
          <w:b/>
          <w:bCs/>
          <w:color w:val="auto"/>
          <w:sz w:val="44"/>
          <w:szCs w:val="44"/>
          <w:highlight w:val="none"/>
          <w:shd w:val="clear" w:color="auto" w:fill="FFFFFF"/>
        </w:rPr>
        <w:t>辽宁方大总医院</w:t>
      </w:r>
      <w:r>
        <w:rPr>
          <w:rFonts w:hint="eastAsia" w:ascii="小标宋" w:hAnsi="小标宋" w:eastAsia="小标宋" w:cs="小标宋"/>
          <w:b/>
          <w:bCs/>
          <w:color w:val="auto"/>
          <w:sz w:val="44"/>
          <w:szCs w:val="44"/>
          <w:highlight w:val="none"/>
          <w:shd w:val="clear" w:color="auto" w:fill="FFFFFF"/>
          <w:lang w:val="en-US" w:eastAsia="zh-CN"/>
        </w:rPr>
        <w:t>水吧、咖啡、甜品、洗车等招租</w:t>
      </w:r>
      <w:r>
        <w:rPr>
          <w:rFonts w:hint="eastAsia" w:ascii="小标宋" w:hAnsi="小标宋" w:eastAsia="小标宋" w:cs="小标宋"/>
          <w:b/>
          <w:bCs/>
          <w:color w:val="auto"/>
          <w:sz w:val="44"/>
          <w:szCs w:val="44"/>
          <w:highlight w:val="none"/>
          <w:shd w:val="clear" w:color="auto" w:fill="FFFFFF"/>
        </w:rPr>
        <w:t>招商公告</w:t>
      </w:r>
    </w:p>
    <w:p w14:paraId="63F72846">
      <w:pPr>
        <w:keepNext w:val="0"/>
        <w:keepLines w:val="0"/>
        <w:pageBreakBefore w:val="0"/>
        <w:kinsoku/>
        <w:wordWrap/>
        <w:overflowPunct w:val="0"/>
        <w:topLinePunct w:val="0"/>
        <w:autoSpaceDE/>
        <w:autoSpaceDN/>
        <w:bidi w:val="0"/>
        <w:adjustRightInd/>
        <w:snapToGrid/>
        <w:spacing w:line="460" w:lineRule="exact"/>
        <w:ind w:firstLine="640" w:firstLineChars="200"/>
        <w:textAlignment w:val="auto"/>
        <w:rPr>
          <w:rFonts w:ascii="仿宋_GB2312" w:hAnsi="仿宋_GB2312" w:eastAsia="仿宋_GB2312" w:cs="仿宋_GB2312"/>
          <w:color w:val="auto"/>
          <w:sz w:val="32"/>
          <w:szCs w:val="32"/>
          <w:highlight w:val="none"/>
        </w:rPr>
      </w:pPr>
    </w:p>
    <w:p w14:paraId="6430ACC9">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辽宁方大总医院位于辽宁省沈抚示范区玄菟路588号，现发布医院部分经营性资产</w:t>
      </w:r>
      <w:r>
        <w:rPr>
          <w:rFonts w:hint="eastAsia" w:ascii="仿宋_GB2312" w:hAnsi="仿宋_GB2312" w:eastAsia="仿宋_GB2312" w:cs="仿宋_GB2312"/>
          <w:color w:val="auto"/>
          <w:sz w:val="32"/>
          <w:szCs w:val="32"/>
          <w:highlight w:val="none"/>
          <w:lang w:val="en-US" w:eastAsia="zh-CN"/>
        </w:rPr>
        <w:t>招租招商</w:t>
      </w:r>
      <w:r>
        <w:rPr>
          <w:rFonts w:hint="eastAsia" w:ascii="仿宋_GB2312" w:hAnsi="仿宋_GB2312" w:eastAsia="仿宋_GB2312" w:cs="仿宋_GB2312"/>
          <w:color w:val="auto"/>
          <w:sz w:val="32"/>
          <w:szCs w:val="32"/>
          <w:highlight w:val="none"/>
        </w:rPr>
        <w:t>公告。</w:t>
      </w:r>
    </w:p>
    <w:p w14:paraId="3A61845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一、项目名称</w:t>
      </w:r>
    </w:p>
    <w:p w14:paraId="4A1FF2D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辽宁方大总医院水吧、</w:t>
      </w:r>
      <w:r>
        <w:rPr>
          <w:rFonts w:hint="eastAsia" w:ascii="仿宋_GB2312" w:hAnsi="仿宋_GB2312" w:eastAsia="仿宋_GB2312" w:cs="仿宋_GB2312"/>
          <w:color w:val="auto"/>
          <w:sz w:val="32"/>
          <w:szCs w:val="32"/>
          <w:highlight w:val="none"/>
          <w:lang w:val="en-US" w:eastAsia="zh-CN"/>
        </w:rPr>
        <w:t>甜品、</w:t>
      </w:r>
      <w:r>
        <w:rPr>
          <w:rFonts w:hint="eastAsia" w:ascii="仿宋_GB2312" w:hAnsi="仿宋_GB2312" w:eastAsia="仿宋_GB2312" w:cs="仿宋_GB2312"/>
          <w:color w:val="auto"/>
          <w:sz w:val="32"/>
          <w:szCs w:val="32"/>
          <w:highlight w:val="none"/>
        </w:rPr>
        <w:t>咖啡、</w:t>
      </w:r>
      <w:r>
        <w:rPr>
          <w:rFonts w:hint="eastAsia" w:ascii="仿宋_GB2312" w:hAnsi="仿宋_GB2312" w:eastAsia="仿宋_GB2312" w:cs="仿宋_GB2312"/>
          <w:color w:val="auto"/>
          <w:sz w:val="32"/>
          <w:szCs w:val="32"/>
          <w:highlight w:val="none"/>
          <w:lang w:val="en-US" w:eastAsia="zh-CN"/>
        </w:rPr>
        <w:t>洗车等</w:t>
      </w:r>
      <w:r>
        <w:rPr>
          <w:rFonts w:hint="eastAsia" w:ascii="仿宋_GB2312" w:hAnsi="仿宋_GB2312" w:eastAsia="仿宋_GB2312" w:cs="仿宋_GB2312"/>
          <w:color w:val="auto"/>
          <w:sz w:val="32"/>
          <w:szCs w:val="32"/>
          <w:highlight w:val="none"/>
        </w:rPr>
        <w:t>招商。</w:t>
      </w:r>
    </w:p>
    <w:p w14:paraId="46B358FA">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二、招商时间</w:t>
      </w:r>
    </w:p>
    <w:p w14:paraId="218D067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报名时间：2025年1月6日至 2025年1月15日。</w:t>
      </w:r>
    </w:p>
    <w:p w14:paraId="3E5FB8D0">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资质审核：2025年1月16日-2025 年1月22日。</w:t>
      </w:r>
    </w:p>
    <w:p w14:paraId="5533F1A7">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正式拍卖：2025年1月23日(周四)上午10点-11点，于【公拍网https://www.gpai.net】对水吧、咖啡、甜品、洗车等4项商业项目进行公开拍卖。</w:t>
      </w:r>
    </w:p>
    <w:p w14:paraId="386CA609">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拍卖周期为</w:t>
      </w:r>
      <w:r>
        <w:rPr>
          <w:rFonts w:hint="eastAsia" w:ascii="仿宋_GB2312" w:hAnsi="仿宋_GB2312" w:eastAsia="仿宋_GB2312" w:cs="仿宋_GB2312"/>
          <w:color w:val="auto"/>
          <w:sz w:val="32"/>
          <w:szCs w:val="32"/>
          <w:highlight w:val="none"/>
          <w:lang w:val="en-US" w:eastAsia="zh-CN"/>
        </w:rPr>
        <w:t>10天公示期+7天方案及资质审核+1小时竞拍+5分钟延时</w:t>
      </w:r>
      <w:r>
        <w:rPr>
          <w:rFonts w:hint="eastAsia" w:ascii="仿宋_GB2312" w:hAnsi="仿宋_GB2312" w:eastAsia="仿宋_GB2312" w:cs="仿宋_GB2312"/>
          <w:color w:val="auto"/>
          <w:sz w:val="32"/>
          <w:szCs w:val="32"/>
          <w:highlight w:val="none"/>
          <w:lang w:eastAsia="zh-CN"/>
        </w:rPr>
        <w:t>竞价。1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lang w:eastAsia="zh-CN"/>
        </w:rPr>
        <w:t>天社会公示期（含资质审核</w:t>
      </w:r>
      <w:r>
        <w:rPr>
          <w:rFonts w:hint="eastAsia" w:ascii="仿宋_GB2312" w:hAnsi="仿宋_GB2312" w:eastAsia="仿宋_GB2312" w:cs="仿宋_GB2312"/>
          <w:color w:val="auto"/>
          <w:sz w:val="32"/>
          <w:szCs w:val="32"/>
          <w:highlight w:val="none"/>
          <w:lang w:val="en-US" w:eastAsia="zh-CN"/>
        </w:rPr>
        <w:t>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7天方案及资质审核</w:t>
      </w:r>
      <w:r>
        <w:rPr>
          <w:rFonts w:hint="eastAsia" w:ascii="仿宋_GB2312" w:hAnsi="仿宋_GB2312" w:eastAsia="仿宋_GB2312" w:cs="仿宋_GB2312"/>
          <w:color w:val="auto"/>
          <w:sz w:val="32"/>
          <w:szCs w:val="32"/>
          <w:highlight w:val="none"/>
          <w:lang w:eastAsia="zh-CN"/>
        </w:rPr>
        <w:t>（组织资审合格单位报名、</w:t>
      </w:r>
      <w:r>
        <w:rPr>
          <w:rFonts w:hint="eastAsia" w:ascii="仿宋_GB2312" w:hAnsi="仿宋_GB2312" w:eastAsia="仿宋_GB2312" w:cs="仿宋_GB2312"/>
          <w:color w:val="auto"/>
          <w:sz w:val="32"/>
          <w:szCs w:val="32"/>
          <w:highlight w:val="none"/>
          <w:lang w:val="en-US" w:eastAsia="zh-CN"/>
        </w:rPr>
        <w:t>入驻方案审核</w:t>
      </w:r>
      <w:r>
        <w:rPr>
          <w:rFonts w:hint="eastAsia" w:ascii="仿宋_GB2312" w:hAnsi="仿宋_GB2312" w:eastAsia="仿宋_GB2312" w:cs="仿宋_GB2312"/>
          <w:color w:val="auto"/>
          <w:sz w:val="32"/>
          <w:szCs w:val="32"/>
          <w:highlight w:val="none"/>
          <w:lang w:eastAsia="zh-CN"/>
        </w:rPr>
        <w:t>、保证金缴费确认、标的录入确认</w:t>
      </w:r>
      <w:r>
        <w:rPr>
          <w:rFonts w:hint="eastAsia" w:ascii="仿宋_GB2312" w:hAnsi="仿宋_GB2312" w:eastAsia="仿宋_GB2312" w:cs="仿宋_GB2312"/>
          <w:color w:val="auto"/>
          <w:sz w:val="32"/>
          <w:szCs w:val="32"/>
          <w:highlight w:val="none"/>
          <w:lang w:val="en-US" w:eastAsia="zh-CN"/>
        </w:rPr>
        <w:t>等</w:t>
      </w:r>
      <w:r>
        <w:rPr>
          <w:rFonts w:hint="eastAsia" w:ascii="仿宋_GB2312" w:hAnsi="仿宋_GB2312" w:eastAsia="仿宋_GB2312" w:cs="仿宋_GB2312"/>
          <w:color w:val="auto"/>
          <w:sz w:val="32"/>
          <w:szCs w:val="32"/>
          <w:highlight w:val="none"/>
          <w:lang w:eastAsia="zh-CN"/>
        </w:rPr>
        <w:t>）、1小时竞拍（</w:t>
      </w:r>
      <w:r>
        <w:rPr>
          <w:rFonts w:hint="eastAsia" w:ascii="仿宋_GB2312" w:hAnsi="仿宋_GB2312" w:eastAsia="仿宋_GB2312" w:cs="仿宋_GB2312"/>
          <w:color w:val="auto"/>
          <w:sz w:val="32"/>
          <w:szCs w:val="32"/>
          <w:highlight w:val="none"/>
          <w:lang w:val="en-US" w:eastAsia="zh-CN"/>
        </w:rPr>
        <w:t>竞拍</w:t>
      </w:r>
      <w:r>
        <w:rPr>
          <w:rFonts w:hint="eastAsia" w:ascii="仿宋_GB2312" w:hAnsi="仿宋_GB2312" w:eastAsia="仿宋_GB2312" w:cs="仿宋_GB2312"/>
          <w:color w:val="auto"/>
          <w:sz w:val="32"/>
          <w:szCs w:val="32"/>
          <w:highlight w:val="none"/>
          <w:lang w:eastAsia="zh-CN"/>
        </w:rPr>
        <w:t>当日10点至当日11点进行自由竞价），截至11点，预留</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eastAsia="zh-CN"/>
        </w:rPr>
        <w:t>分钟进行</w:t>
      </w:r>
      <w:r>
        <w:rPr>
          <w:rFonts w:hint="eastAsia" w:ascii="仿宋_GB2312" w:hAnsi="仿宋_GB2312" w:eastAsia="仿宋_GB2312" w:cs="仿宋_GB2312"/>
          <w:color w:val="auto"/>
          <w:sz w:val="32"/>
          <w:szCs w:val="32"/>
          <w:highlight w:val="none"/>
          <w:lang w:val="en-US" w:eastAsia="zh-CN"/>
        </w:rPr>
        <w:t>延时竞价</w:t>
      </w:r>
      <w:r>
        <w:rPr>
          <w:rFonts w:hint="eastAsia" w:ascii="仿宋_GB2312" w:hAnsi="仿宋_GB2312" w:eastAsia="仿宋_GB2312" w:cs="仿宋_GB2312"/>
          <w:color w:val="auto"/>
          <w:sz w:val="32"/>
          <w:szCs w:val="32"/>
          <w:highlight w:val="none"/>
          <w:lang w:eastAsia="zh-CN"/>
        </w:rPr>
        <w:t>，如无有效的追加报价，视最高出价者为买受人。确认竞买成交的买受人一次性向辽宁省拍卖行支付标的成交价2%的佣金费用，竞买保证金转为履约抵押金，三年后无违约项无息退还买受人。竞买成功却违约的，竞买保证金不予退还。</w:t>
      </w:r>
    </w:p>
    <w:p w14:paraId="05775FB1">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三、</w:t>
      </w:r>
      <w:r>
        <w:rPr>
          <w:rFonts w:hint="eastAsia" w:ascii="仿宋_GB2312" w:hAnsi="仿宋_GB2312" w:eastAsia="仿宋_GB2312" w:cs="仿宋_GB2312"/>
          <w:b/>
          <w:bCs/>
          <w:color w:val="auto"/>
          <w:sz w:val="32"/>
          <w:szCs w:val="32"/>
          <w:highlight w:val="none"/>
          <w:lang w:val="en-US" w:eastAsia="zh-CN"/>
        </w:rPr>
        <w:t>招租</w:t>
      </w:r>
      <w:r>
        <w:rPr>
          <w:rFonts w:hint="eastAsia" w:ascii="仿宋_GB2312" w:hAnsi="仿宋_GB2312" w:eastAsia="仿宋_GB2312" w:cs="仿宋_GB2312"/>
          <w:b/>
          <w:bCs/>
          <w:color w:val="auto"/>
          <w:sz w:val="32"/>
          <w:szCs w:val="32"/>
          <w:highlight w:val="none"/>
        </w:rPr>
        <w:t>招商要求</w:t>
      </w:r>
    </w:p>
    <w:p w14:paraId="4F9ECE4F">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（一）招租招商对象为自然人或者在中华人民共和国境内注册的法人等主体，具有独立承担民事责任的能力。</w:t>
      </w:r>
    </w:p>
    <w:p w14:paraId="234BF102">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（二）近三年内（202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年至今）在中华人民共和国境内无违法违纪、无不良记录、无不良行为事件发生。</w:t>
      </w:r>
    </w:p>
    <w:p w14:paraId="51FF3904">
      <w:pPr>
        <w:spacing w:line="460" w:lineRule="exact"/>
        <w:ind w:firstLine="640"/>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（三）</w:t>
      </w:r>
      <w:r>
        <w:rPr>
          <w:rFonts w:hint="eastAsia" w:ascii="仿宋_GB2312" w:hAnsi="仿宋_GB2312" w:eastAsia="仿宋_GB2312" w:cs="仿宋_GB2312"/>
          <w:color w:val="auto"/>
          <w:sz w:val="32"/>
          <w:szCs w:val="32"/>
          <w:highlight w:val="none"/>
          <w:lang w:val="en-US" w:eastAsia="zh-CN"/>
        </w:rPr>
        <w:t>针对服务类（水吧、咖啡、甜品、洗车等）招商，采取“以需求定方案、以方案做招商”的原则。水吧、咖啡及甜品项目，采取半开放式吧台设计，休息区由商家配置桌椅，行成落客品鉴区，</w:t>
      </w:r>
      <w:r>
        <w:rPr>
          <w:rFonts w:hint="default" w:ascii="仿宋_GB2312" w:hAnsi="仿宋_GB2312" w:eastAsia="仿宋_GB2312" w:cs="仿宋_GB2312"/>
          <w:color w:val="auto"/>
          <w:sz w:val="32"/>
          <w:szCs w:val="32"/>
          <w:highlight w:val="none"/>
          <w:lang w:val="en-US" w:eastAsia="zh-CN"/>
        </w:rPr>
        <w:t>既</w:t>
      </w:r>
      <w:r>
        <w:rPr>
          <w:rFonts w:hint="eastAsia" w:ascii="仿宋_GB2312" w:hAnsi="仿宋_GB2312" w:eastAsia="仿宋_GB2312" w:cs="仿宋_GB2312"/>
          <w:color w:val="auto"/>
          <w:sz w:val="32"/>
          <w:szCs w:val="32"/>
          <w:highlight w:val="none"/>
          <w:lang w:val="en-US" w:eastAsia="zh-CN"/>
        </w:rPr>
        <w:t>能</w:t>
      </w:r>
      <w:r>
        <w:rPr>
          <w:rFonts w:hint="default" w:ascii="仿宋_GB2312" w:hAnsi="仿宋_GB2312" w:eastAsia="仿宋_GB2312" w:cs="仿宋_GB2312"/>
          <w:color w:val="auto"/>
          <w:sz w:val="32"/>
          <w:szCs w:val="32"/>
          <w:highlight w:val="none"/>
          <w:lang w:val="en-US" w:eastAsia="zh-CN"/>
        </w:rPr>
        <w:t>展示</w:t>
      </w:r>
      <w:r>
        <w:rPr>
          <w:rFonts w:hint="eastAsia" w:ascii="仿宋_GB2312" w:hAnsi="仿宋_GB2312" w:eastAsia="仿宋_GB2312" w:cs="仿宋_GB2312"/>
          <w:color w:val="auto"/>
          <w:sz w:val="32"/>
          <w:szCs w:val="32"/>
          <w:highlight w:val="none"/>
          <w:lang w:val="en-US" w:eastAsia="zh-CN"/>
        </w:rPr>
        <w:t>咖啡甜品等</w:t>
      </w:r>
      <w:r>
        <w:rPr>
          <w:rFonts w:hint="default" w:ascii="仿宋_GB2312" w:hAnsi="仿宋_GB2312" w:eastAsia="仿宋_GB2312" w:cs="仿宋_GB2312"/>
          <w:color w:val="auto"/>
          <w:sz w:val="32"/>
          <w:szCs w:val="32"/>
          <w:highlight w:val="none"/>
          <w:lang w:val="en-US" w:eastAsia="zh-CN"/>
        </w:rPr>
        <w:t>制作过程，又</w:t>
      </w:r>
      <w:r>
        <w:rPr>
          <w:rFonts w:hint="eastAsia" w:ascii="仿宋_GB2312" w:hAnsi="仿宋_GB2312" w:eastAsia="仿宋_GB2312" w:cs="仿宋_GB2312"/>
          <w:color w:val="auto"/>
          <w:sz w:val="32"/>
          <w:szCs w:val="32"/>
          <w:highlight w:val="none"/>
          <w:lang w:val="en-US" w:eastAsia="zh-CN"/>
        </w:rPr>
        <w:t>充分</w:t>
      </w:r>
      <w:r>
        <w:rPr>
          <w:rFonts w:hint="default" w:ascii="仿宋_GB2312" w:hAnsi="仿宋_GB2312" w:eastAsia="仿宋_GB2312" w:cs="仿宋_GB2312"/>
          <w:color w:val="auto"/>
          <w:sz w:val="32"/>
          <w:szCs w:val="32"/>
          <w:highlight w:val="none"/>
          <w:lang w:val="en-US" w:eastAsia="zh-CN"/>
        </w:rPr>
        <w:t>保护</w:t>
      </w:r>
      <w:r>
        <w:rPr>
          <w:rFonts w:hint="eastAsia" w:ascii="仿宋_GB2312" w:hAnsi="仿宋_GB2312" w:eastAsia="仿宋_GB2312" w:cs="仿宋_GB2312"/>
          <w:color w:val="auto"/>
          <w:sz w:val="32"/>
          <w:szCs w:val="32"/>
          <w:highlight w:val="none"/>
          <w:lang w:val="en-US" w:eastAsia="zh-CN"/>
        </w:rPr>
        <w:t>其</w:t>
      </w:r>
      <w:r>
        <w:rPr>
          <w:rFonts w:hint="default" w:ascii="仿宋_GB2312" w:hAnsi="仿宋_GB2312" w:eastAsia="仿宋_GB2312" w:cs="仿宋_GB2312"/>
          <w:color w:val="auto"/>
          <w:sz w:val="32"/>
          <w:szCs w:val="32"/>
          <w:highlight w:val="none"/>
          <w:lang w:val="en-US" w:eastAsia="zh-CN"/>
        </w:rPr>
        <w:t>商业机密。</w:t>
      </w:r>
      <w:r>
        <w:rPr>
          <w:rFonts w:hint="eastAsia" w:ascii="仿宋_GB2312" w:hAnsi="仿宋_GB2312" w:eastAsia="仿宋_GB2312" w:cs="仿宋_GB2312"/>
          <w:color w:val="auto"/>
          <w:sz w:val="32"/>
          <w:szCs w:val="32"/>
          <w:highlight w:val="none"/>
          <w:lang w:val="en-US" w:eastAsia="zh-CN"/>
        </w:rPr>
        <w:t>由意向品牌根据公司设计需求提报初步设计方案，方案由我院审核，通过后方可参与招商竞拍活动。</w:t>
      </w:r>
    </w:p>
    <w:p w14:paraId="266A71B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洗车服务商务要求：</w:t>
      </w:r>
    </w:p>
    <w:p w14:paraId="0C73563E">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1.具有独立法人资格，注册资金不低于人民币20万元;</w:t>
      </w:r>
    </w:p>
    <w:p w14:paraId="3FEC3BA9">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2.具有良好的商业信誉；</w:t>
      </w:r>
    </w:p>
    <w:p w14:paraId="017497D8">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3.具有专业的洗车服务团队和设备;</w:t>
      </w:r>
    </w:p>
    <w:p w14:paraId="6A13CB3C">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4.具有完善的售后服务体系；</w:t>
      </w:r>
    </w:p>
    <w:p w14:paraId="1B346ACD">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5.近三年内无不良记录;</w:t>
      </w:r>
    </w:p>
    <w:p w14:paraId="2EA98317">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6.具有与竞拍项目规模和复杂程度相适应的类似项目经验，提报方案审核通过后挂网竞拍招商。</w:t>
      </w:r>
    </w:p>
    <w:p w14:paraId="12AB7A8A">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）不接受联合体报名。</w:t>
      </w:r>
    </w:p>
    <w:p w14:paraId="5788B2E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四、</w:t>
      </w:r>
      <w:r>
        <w:rPr>
          <w:rFonts w:hint="eastAsia" w:ascii="仿宋_GB2312" w:hAnsi="仿宋_GB2312" w:eastAsia="仿宋_GB2312" w:cs="仿宋_GB2312"/>
          <w:b/>
          <w:bCs/>
          <w:color w:val="auto"/>
          <w:sz w:val="32"/>
          <w:szCs w:val="32"/>
          <w:highlight w:val="none"/>
          <w:lang w:val="en-US" w:eastAsia="zh-CN"/>
        </w:rPr>
        <w:t>招租</w:t>
      </w:r>
      <w:r>
        <w:rPr>
          <w:rFonts w:hint="eastAsia" w:ascii="仿宋_GB2312" w:hAnsi="仿宋_GB2312" w:eastAsia="仿宋_GB2312" w:cs="仿宋_GB2312"/>
          <w:b/>
          <w:bCs/>
          <w:color w:val="auto"/>
          <w:sz w:val="32"/>
          <w:szCs w:val="32"/>
          <w:highlight w:val="none"/>
        </w:rPr>
        <w:t>招商详情</w:t>
      </w:r>
    </w:p>
    <w:tbl>
      <w:tblPr>
        <w:tblStyle w:val="5"/>
        <w:tblW w:w="829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50"/>
        <w:gridCol w:w="1370"/>
        <w:gridCol w:w="1190"/>
        <w:gridCol w:w="2200"/>
        <w:gridCol w:w="2480"/>
      </w:tblGrid>
      <w:tr w14:paraId="0880F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blHeader/>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154D8">
            <w:pPr>
              <w:keepNext w:val="0"/>
              <w:keepLines w:val="0"/>
              <w:widowControl/>
              <w:suppressLineNumbers w:val="0"/>
              <w:jc w:val="center"/>
              <w:textAlignment w:val="center"/>
              <w:rPr>
                <w:rFonts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序号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12189">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项目</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1DD5">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面积/㎡</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92CA5">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年租金起拍价/元</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8FE5E">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竞买保证金金额/元</w:t>
            </w:r>
          </w:p>
        </w:tc>
      </w:tr>
      <w:tr w14:paraId="17C0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3CFCB">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734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E1水吧</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CB4A5">
            <w:pPr>
              <w:keepNext w:val="0"/>
              <w:keepLines w:val="0"/>
              <w:widowControl/>
              <w:suppressLineNumbers w:val="0"/>
              <w:jc w:val="center"/>
              <w:textAlignment w:val="center"/>
              <w:rPr>
                <w:rFonts w:hint="default"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95</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AC5BF">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180000元/年起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9B10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30000</w:t>
            </w:r>
          </w:p>
        </w:tc>
      </w:tr>
      <w:tr w14:paraId="4CEFB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9108F">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6EA04">
            <w:pPr>
              <w:keepNext w:val="0"/>
              <w:keepLines w:val="0"/>
              <w:widowControl/>
              <w:suppressLineNumbers w:val="0"/>
              <w:jc w:val="center"/>
              <w:textAlignment w:val="center"/>
              <w:rPr>
                <w:rFonts w:hint="default"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E2甜品</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FA174">
            <w:pPr>
              <w:keepNext w:val="0"/>
              <w:keepLines w:val="0"/>
              <w:widowControl/>
              <w:suppressLineNumbers w:val="0"/>
              <w:jc w:val="center"/>
              <w:textAlignment w:val="center"/>
              <w:rPr>
                <w:rFonts w:hint="default"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61</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74835">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120000元/年起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68099">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30000</w:t>
            </w:r>
          </w:p>
        </w:tc>
      </w:tr>
      <w:tr w14:paraId="0CDB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60D3A">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B8407">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E3咖啡</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95E8">
            <w:pPr>
              <w:keepNext w:val="0"/>
              <w:keepLines w:val="0"/>
              <w:widowControl/>
              <w:suppressLineNumbers w:val="0"/>
              <w:jc w:val="center"/>
              <w:textAlignment w:val="center"/>
              <w:rPr>
                <w:rFonts w:hint="default"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61</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A7F8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120000元/年起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A8ED3">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30000</w:t>
            </w:r>
          </w:p>
        </w:tc>
      </w:tr>
      <w:tr w14:paraId="2A134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1CC32">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4</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73E79">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G1洗车</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B4B4">
            <w:pPr>
              <w:keepNext w:val="0"/>
              <w:keepLines w:val="0"/>
              <w:widowControl/>
              <w:suppressLineNumbers w:val="0"/>
              <w:jc w:val="center"/>
              <w:textAlignment w:val="center"/>
              <w:rPr>
                <w:rFonts w:hint="default"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133</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6A35">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100000元/年起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37BD4">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30000</w:t>
            </w:r>
          </w:p>
        </w:tc>
      </w:tr>
    </w:tbl>
    <w:p w14:paraId="6EEDBB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注：起拍价按</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元/㎡/天计算，面积暂估，具体以实际测量为准。以上商铺均提供水电，水、电、物业费用等均由承租人全部承担，此事项暂定，具体见《辽宁方大总医院招租招商项目》租赁合同。</w:t>
      </w:r>
    </w:p>
    <w:p w14:paraId="4A3C866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（一）竞拍方式</w:t>
      </w:r>
    </w:p>
    <w:p w14:paraId="0EFD221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竞拍人通过</w:t>
      </w:r>
      <w:r>
        <w:rPr>
          <w:rFonts w:hint="eastAsia" w:ascii="仿宋_GB2312" w:hAnsi="仿宋_GB2312" w:eastAsia="仿宋_GB2312" w:cs="仿宋_GB2312"/>
          <w:color w:val="auto"/>
          <w:sz w:val="32"/>
          <w:szCs w:val="32"/>
          <w:highlight w:val="none"/>
          <w:lang w:val="en-US" w:eastAsia="zh-CN"/>
        </w:rPr>
        <w:t>公拍网</w:t>
      </w:r>
      <w:r>
        <w:rPr>
          <w:rFonts w:hint="eastAsia" w:ascii="仿宋_GB2312" w:hAnsi="仿宋_GB2312" w:eastAsia="仿宋_GB2312" w:cs="仿宋_GB2312"/>
          <w:color w:val="auto"/>
          <w:w w:val="90"/>
          <w:sz w:val="32"/>
          <w:szCs w:val="32"/>
          <w:highlight w:val="none"/>
          <w:lang w:val="en-US" w:eastAsia="zh-CN"/>
        </w:rPr>
        <w:t>（www.gpai.net）</w:t>
      </w:r>
      <w:r>
        <w:rPr>
          <w:rFonts w:hint="eastAsia" w:ascii="仿宋_GB2312" w:hAnsi="仿宋_GB2312" w:eastAsia="仿宋_GB2312" w:cs="仿宋_GB2312"/>
          <w:color w:val="auto"/>
          <w:sz w:val="32"/>
          <w:szCs w:val="32"/>
          <w:highlight w:val="none"/>
        </w:rPr>
        <w:t>提交资质材料进行审核，审核结果通过并缴纳</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保证金后方可参与招商活动。</w:t>
      </w:r>
    </w:p>
    <w:p w14:paraId="2012A6AD">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缴纳</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保证金规则</w:t>
      </w:r>
    </w:p>
    <w:p w14:paraId="0691032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缴纳次数。每参加一次标的竞拍，均需缴纳一次保证金。</w:t>
      </w:r>
    </w:p>
    <w:p w14:paraId="0432D3E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缴纳金额。</w:t>
      </w:r>
      <w:r>
        <w:rPr>
          <w:rFonts w:hint="eastAsia" w:ascii="仿宋_GB2312" w:hAnsi="仿宋_GB2312" w:eastAsia="仿宋_GB2312" w:cs="仿宋_GB2312"/>
          <w:color w:val="auto"/>
          <w:sz w:val="32"/>
          <w:szCs w:val="32"/>
          <w:highlight w:val="none"/>
          <w:lang w:val="en-US" w:eastAsia="zh-CN"/>
        </w:rPr>
        <w:t>竞买保证金为3万元，合同期限为2年，1年1签，合同到期后，同等条件下，原合作方优先。</w:t>
      </w:r>
    </w:p>
    <w:p w14:paraId="2CF6F0A6">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竞拍人参加每件标的竞拍前，需按照该标的物注明的保证金金额在线支付保证金。</w:t>
      </w:r>
    </w:p>
    <w:p w14:paraId="187AD39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在线支付保证金的方式为“微信、网银”支付。</w:t>
      </w:r>
    </w:p>
    <w:p w14:paraId="3B14260A">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在线支付成功后，系统自动对竞拍人进行参拍授权，生成网上竞拍号牌。</w:t>
      </w:r>
    </w:p>
    <w:p w14:paraId="0F0433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竞拍人需在</w:t>
      </w:r>
      <w:r>
        <w:rPr>
          <w:rFonts w:hint="eastAsia" w:ascii="仿宋_GB2312" w:hAnsi="仿宋_GB2312" w:eastAsia="仿宋_GB2312" w:cs="仿宋_GB2312"/>
          <w:color w:val="auto"/>
          <w:sz w:val="32"/>
          <w:szCs w:val="32"/>
          <w:highlight w:val="none"/>
          <w:lang w:val="en-US" w:eastAsia="zh-CN"/>
        </w:rPr>
        <w:t>资质审核及缴费周期内</w:t>
      </w:r>
      <w:r>
        <w:rPr>
          <w:rFonts w:hint="eastAsia" w:ascii="仿宋_GB2312" w:hAnsi="仿宋_GB2312" w:eastAsia="仿宋_GB2312" w:cs="仿宋_GB2312"/>
          <w:color w:val="auto"/>
          <w:sz w:val="32"/>
          <w:szCs w:val="32"/>
          <w:highlight w:val="none"/>
        </w:rPr>
        <w:t>完成报名</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缴纳保证金。通过线上缴纳的保证金会锁定在拍卖平台账户内。如竞拍出局，保证金会在竞拍结束后30个工作日内自动原路返还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如竞拍成功，竞拍人保证金将转化为部分履约保证金直接划扣给平台账户锁定。</w:t>
      </w:r>
    </w:p>
    <w:p w14:paraId="2F45694B">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出价规则</w:t>
      </w:r>
    </w:p>
    <w:p w14:paraId="6B1304B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全场首次出价只能为起拍价，出价只能大于等于起拍价。</w:t>
      </w:r>
    </w:p>
    <w:p w14:paraId="0F4DF2C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默认按照加价幅度出价，每次加价不得低于</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00元。</w:t>
      </w:r>
    </w:p>
    <w:p w14:paraId="6765CBA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出价次数无限制，竞拍周期内均可出价。</w:t>
      </w:r>
    </w:p>
    <w:p w14:paraId="43CFC3F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在竞拍周期内，出价后如果长时间没有其他人出价，拍卖也不会提前结束。</w:t>
      </w:r>
    </w:p>
    <w:p w14:paraId="21C5CF29">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（四）中止竞价情况</w:t>
      </w:r>
    </w:p>
    <w:p w14:paraId="13E6415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1.我院</w:t>
      </w:r>
      <w:r>
        <w:rPr>
          <w:rFonts w:hint="default" w:ascii="仿宋_GB2312" w:hAnsi="仿宋_GB2312" w:eastAsia="仿宋_GB2312" w:cs="仿宋_GB2312"/>
          <w:color w:val="auto"/>
          <w:sz w:val="32"/>
          <w:szCs w:val="32"/>
          <w:highlight w:val="none"/>
          <w:lang w:val="en-US" w:eastAsia="zh-CN"/>
        </w:rPr>
        <w:t>在拍卖会前可以书面通知形式中止拍卖，中止拍卖的事由消失后恢复拍卖，并重新发布拍卖公告。</w:t>
      </w:r>
    </w:p>
    <w:p w14:paraId="268399D1">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2.我院</w:t>
      </w:r>
      <w:r>
        <w:rPr>
          <w:rFonts w:hint="default" w:ascii="仿宋_GB2312" w:hAnsi="仿宋_GB2312" w:eastAsia="仿宋_GB2312" w:cs="仿宋_GB2312"/>
          <w:color w:val="auto"/>
          <w:sz w:val="32"/>
          <w:szCs w:val="32"/>
          <w:highlight w:val="none"/>
          <w:lang w:val="en-US" w:eastAsia="zh-CN"/>
        </w:rPr>
        <w:t>在拍卖会前可以书面通知形式终止拍卖</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拍卖终止后，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要求继续进行拍卖的，</w:t>
      </w:r>
      <w:r>
        <w:rPr>
          <w:rFonts w:hint="eastAsia" w:ascii="仿宋_GB2312" w:hAnsi="仿宋_GB2312" w:eastAsia="仿宋_GB2312" w:cs="仿宋_GB2312"/>
          <w:color w:val="auto"/>
          <w:sz w:val="32"/>
          <w:szCs w:val="32"/>
          <w:highlight w:val="none"/>
          <w:lang w:val="en-US" w:eastAsia="zh-CN"/>
        </w:rPr>
        <w:t>会</w:t>
      </w:r>
      <w:r>
        <w:rPr>
          <w:rFonts w:hint="default" w:ascii="仿宋_GB2312" w:hAnsi="仿宋_GB2312" w:eastAsia="仿宋_GB2312" w:cs="仿宋_GB2312"/>
          <w:color w:val="auto"/>
          <w:sz w:val="32"/>
          <w:szCs w:val="32"/>
          <w:highlight w:val="none"/>
          <w:lang w:val="en-US" w:eastAsia="zh-CN"/>
        </w:rPr>
        <w:t>重新</w:t>
      </w:r>
      <w:r>
        <w:rPr>
          <w:rFonts w:hint="eastAsia" w:ascii="仿宋_GB2312" w:hAnsi="仿宋_GB2312" w:eastAsia="仿宋_GB2312" w:cs="仿宋_GB2312"/>
          <w:color w:val="auto"/>
          <w:sz w:val="32"/>
          <w:szCs w:val="32"/>
          <w:highlight w:val="none"/>
          <w:lang w:val="en-US" w:eastAsia="zh-CN"/>
        </w:rPr>
        <w:t>委托并启动拍卖</w:t>
      </w:r>
      <w:r>
        <w:rPr>
          <w:rFonts w:hint="default" w:ascii="仿宋_GB2312" w:hAnsi="仿宋_GB2312" w:eastAsia="仿宋_GB2312" w:cs="仿宋_GB2312"/>
          <w:color w:val="auto"/>
          <w:sz w:val="32"/>
          <w:szCs w:val="32"/>
          <w:highlight w:val="none"/>
          <w:lang w:val="en-US" w:eastAsia="zh-CN"/>
        </w:rPr>
        <w:t>。</w:t>
      </w:r>
    </w:p>
    <w:p w14:paraId="5C1035A4">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成交规则</w:t>
      </w:r>
    </w:p>
    <w:p w14:paraId="74E6CC29">
      <w:pPr>
        <w:keepNext w:val="0"/>
        <w:keepLines w:val="0"/>
        <w:pageBreakBefore w:val="0"/>
        <w:kinsoku/>
        <w:overflowPunct w:val="0"/>
        <w:topLinePunct w:val="0"/>
        <w:autoSpaceDE/>
        <w:autoSpaceDN/>
        <w:bidi w:val="0"/>
        <w:adjustRightInd/>
        <w:snapToGrid/>
        <w:spacing w:line="400" w:lineRule="exact"/>
        <w:ind w:firstLine="640" w:firstLineChars="200"/>
        <w:jc w:val="left"/>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在线拍卖结束后，最高应价者成为该拍卖标的物的</w:t>
      </w:r>
      <w:r>
        <w:rPr>
          <w:rFonts w:hint="eastAsia" w:ascii="仿宋_GB2312" w:hAnsi="仿宋_GB2312" w:eastAsia="仿宋_GB2312" w:cs="仿宋_GB2312"/>
          <w:color w:val="auto"/>
          <w:sz w:val="32"/>
          <w:szCs w:val="32"/>
          <w:highlight w:val="none"/>
          <w:lang w:val="en-US" w:eastAsia="zh-CN"/>
        </w:rPr>
        <w:t>买受</w:t>
      </w:r>
      <w:r>
        <w:rPr>
          <w:rFonts w:hint="eastAsia" w:ascii="仿宋_GB2312" w:hAnsi="仿宋_GB2312" w:eastAsia="仿宋_GB2312" w:cs="仿宋_GB2312"/>
          <w:color w:val="auto"/>
          <w:sz w:val="32"/>
          <w:szCs w:val="32"/>
          <w:highlight w:val="none"/>
        </w:rPr>
        <w:t>人，</w:t>
      </w:r>
      <w:r>
        <w:rPr>
          <w:rFonts w:hint="eastAsia" w:ascii="仿宋_GB2312" w:hAnsi="仿宋_GB2312" w:eastAsia="仿宋_GB2312" w:cs="仿宋_GB2312"/>
          <w:color w:val="auto"/>
          <w:sz w:val="32"/>
          <w:szCs w:val="32"/>
          <w:highlight w:val="none"/>
          <w:lang w:val="en-US" w:eastAsia="zh-CN"/>
        </w:rPr>
        <w:t>公拍网将对买受人出具成交确认书</w:t>
      </w:r>
      <w:r>
        <w:rPr>
          <w:rFonts w:hint="eastAsia" w:ascii="仿宋_GB2312" w:hAnsi="仿宋_GB2312" w:eastAsia="仿宋_GB2312" w:cs="仿宋_GB2312"/>
          <w:color w:val="auto"/>
          <w:sz w:val="32"/>
          <w:szCs w:val="32"/>
          <w:highlight w:val="none"/>
        </w:rPr>
        <w:t>。竞拍人应在规定的时间将</w:t>
      </w:r>
      <w:r>
        <w:rPr>
          <w:rFonts w:hint="eastAsia" w:ascii="仿宋_GB2312" w:hAnsi="仿宋_GB2312" w:eastAsia="仿宋_GB2312" w:cs="仿宋_GB2312"/>
          <w:color w:val="auto"/>
          <w:sz w:val="32"/>
          <w:szCs w:val="32"/>
          <w:highlight w:val="none"/>
          <w:lang w:val="en-US" w:eastAsia="zh-CN"/>
        </w:rPr>
        <w:t>佣金</w:t>
      </w:r>
      <w:r>
        <w:rPr>
          <w:rFonts w:hint="eastAsia" w:ascii="仿宋_GB2312" w:hAnsi="仿宋_GB2312" w:eastAsia="仿宋_GB2312" w:cs="仿宋_GB2312"/>
          <w:color w:val="auto"/>
          <w:sz w:val="32"/>
          <w:szCs w:val="32"/>
          <w:highlight w:val="none"/>
        </w:rPr>
        <w:t>价款支付到发布人指定账户，完成付款后签署租赁协议。</w:t>
      </w:r>
    </w:p>
    <w:p w14:paraId="55333D33">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如果竞拍人竞价成功，未支付</w:t>
      </w:r>
      <w:r>
        <w:rPr>
          <w:rFonts w:hint="eastAsia" w:ascii="仿宋_GB2312" w:hAnsi="仿宋_GB2312" w:eastAsia="仿宋_GB2312" w:cs="仿宋_GB2312"/>
          <w:color w:val="auto"/>
          <w:sz w:val="32"/>
          <w:szCs w:val="32"/>
          <w:highlight w:val="none"/>
          <w:lang w:val="en-US" w:eastAsia="zh-CN"/>
        </w:rPr>
        <w:t>的佣金</w:t>
      </w:r>
      <w:r>
        <w:rPr>
          <w:rFonts w:hint="eastAsia" w:ascii="仿宋_GB2312" w:hAnsi="仿宋_GB2312" w:eastAsia="仿宋_GB2312" w:cs="仿宋_GB2312"/>
          <w:color w:val="auto"/>
          <w:sz w:val="32"/>
          <w:szCs w:val="32"/>
          <w:highlight w:val="none"/>
        </w:rPr>
        <w:t>或未履约完成签署租赁协议，院方则扣除本次</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w:t>
      </w:r>
    </w:p>
    <w:p w14:paraId="29BFB48E">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五、</w:t>
      </w:r>
      <w:r>
        <w:rPr>
          <w:rFonts w:hint="eastAsia" w:ascii="仿宋_GB2312" w:hAnsi="仿宋_GB2312" w:eastAsia="仿宋_GB2312" w:cs="仿宋_GB2312"/>
          <w:b/>
          <w:bCs/>
          <w:color w:val="auto"/>
          <w:sz w:val="32"/>
          <w:szCs w:val="32"/>
          <w:highlight w:val="none"/>
          <w:lang w:val="en-US" w:eastAsia="zh-CN"/>
        </w:rPr>
        <w:t>招租</w:t>
      </w:r>
      <w:r>
        <w:rPr>
          <w:rFonts w:hint="eastAsia" w:ascii="仿宋_GB2312" w:hAnsi="仿宋_GB2312" w:eastAsia="仿宋_GB2312" w:cs="仿宋_GB2312"/>
          <w:b/>
          <w:bCs/>
          <w:color w:val="auto"/>
          <w:sz w:val="32"/>
          <w:szCs w:val="32"/>
          <w:highlight w:val="none"/>
        </w:rPr>
        <w:t>招商声明</w:t>
      </w:r>
    </w:p>
    <w:p w14:paraId="3A7E7C0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（一）本次招商活动借鉴公开招标的模式，使用招投标法中规定的术语，但并非法律意义上的招投标行为，招商文件的最终解释权归辽宁方大总医院所有。</w:t>
      </w:r>
    </w:p>
    <w:p w14:paraId="216A287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（二）温馨提示：医院招商工作依法依规、公开公正进行，凡声称可以保证招商项目中标等情况的都属于虚假宣传。</w:t>
      </w:r>
    </w:p>
    <w:p w14:paraId="009E142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（三）本次</w:t>
      </w:r>
      <w:r>
        <w:rPr>
          <w:rFonts w:hint="eastAsia" w:ascii="仿宋_GB2312" w:hAnsi="仿宋_GB2312" w:eastAsia="仿宋_GB2312" w:cs="仿宋_GB2312"/>
          <w:color w:val="auto"/>
          <w:sz w:val="32"/>
          <w:szCs w:val="32"/>
          <w:highlight w:val="none"/>
          <w:lang w:val="en-US" w:eastAsia="zh-CN"/>
        </w:rPr>
        <w:t>招商</w:t>
      </w:r>
      <w:r>
        <w:rPr>
          <w:rFonts w:hint="eastAsia" w:ascii="仿宋_GB2312" w:hAnsi="仿宋_GB2312" w:eastAsia="仿宋_GB2312" w:cs="仿宋_GB2312"/>
          <w:color w:val="auto"/>
          <w:sz w:val="32"/>
          <w:szCs w:val="32"/>
          <w:highlight w:val="none"/>
        </w:rPr>
        <w:t>活动的信息如有变更，最终以</w:t>
      </w:r>
      <w:r>
        <w:rPr>
          <w:rFonts w:hint="eastAsia" w:ascii="仿宋_GB2312" w:hAnsi="仿宋_GB2312" w:eastAsia="仿宋_GB2312" w:cs="仿宋_GB2312"/>
          <w:color w:val="auto"/>
          <w:sz w:val="32"/>
          <w:szCs w:val="32"/>
          <w:highlight w:val="none"/>
          <w:lang w:val="en-US" w:eastAsia="zh-CN"/>
        </w:rPr>
        <w:t>招商</w:t>
      </w:r>
      <w:r>
        <w:rPr>
          <w:rFonts w:hint="eastAsia" w:ascii="仿宋_GB2312" w:hAnsi="仿宋_GB2312" w:eastAsia="仿宋_GB2312" w:cs="仿宋_GB2312"/>
          <w:color w:val="auto"/>
          <w:sz w:val="32"/>
          <w:szCs w:val="32"/>
          <w:highlight w:val="none"/>
        </w:rPr>
        <w:t>人解释为准。</w:t>
      </w:r>
    </w:p>
    <w:p w14:paraId="58D6779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w:t>
      </w:r>
      <w:r>
        <w:rPr>
          <w:rFonts w:hint="default" w:ascii="仿宋_GB2312" w:hAnsi="仿宋_GB2312" w:eastAsia="仿宋_GB2312" w:cs="仿宋_GB2312"/>
          <w:color w:val="auto"/>
          <w:sz w:val="32"/>
          <w:szCs w:val="32"/>
          <w:highlight w:val="none"/>
          <w:lang w:val="en-US" w:eastAsia="zh-CN"/>
        </w:rPr>
        <w:t>在竞拍过程中，</w:t>
      </w:r>
      <w:r>
        <w:rPr>
          <w:rFonts w:hint="eastAsia" w:ascii="仿宋_GB2312" w:hAnsi="仿宋_GB2312" w:eastAsia="仿宋_GB2312" w:cs="仿宋_GB2312"/>
          <w:color w:val="auto"/>
          <w:sz w:val="32"/>
          <w:szCs w:val="32"/>
          <w:highlight w:val="none"/>
          <w:lang w:val="en-US" w:eastAsia="zh-CN"/>
        </w:rPr>
        <w:t>严禁存在如下行为：</w:t>
      </w:r>
    </w:p>
    <w:p w14:paraId="7C82D13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default" w:ascii="仿宋_GB2312" w:hAnsi="仿宋_GB2312" w:eastAsia="仿宋_GB2312" w:cs="仿宋_GB2312"/>
          <w:color w:val="auto"/>
          <w:sz w:val="32"/>
          <w:szCs w:val="32"/>
          <w:highlight w:val="none"/>
          <w:lang w:val="en-US" w:eastAsia="zh-CN"/>
        </w:rPr>
        <w:t>围标、串通行为，一经发现或被人有效举报，扣除全部竞拍保证金，不再准许参加我院后续招商活动，列入我院招商黑名单</w:t>
      </w:r>
      <w:r>
        <w:rPr>
          <w:rFonts w:hint="eastAsia" w:ascii="仿宋_GB2312" w:hAnsi="仿宋_GB2312" w:eastAsia="仿宋_GB2312" w:cs="仿宋_GB2312"/>
          <w:color w:val="auto"/>
          <w:sz w:val="32"/>
          <w:szCs w:val="32"/>
          <w:highlight w:val="none"/>
          <w:lang w:val="en-US" w:eastAsia="zh-CN"/>
        </w:rPr>
        <w:t>。</w:t>
      </w:r>
    </w:p>
    <w:p w14:paraId="7B4F874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US" w:eastAsia="zh-CN"/>
        </w:rPr>
        <w:t>毁拍、流拍：对于无论以任何理由违约的买受人，缴纳的竞买保证金均不予退还。同时，原买受人不得参与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任意一轮竞拍，</w:t>
      </w:r>
      <w:r>
        <w:rPr>
          <w:rFonts w:hint="eastAsia" w:ascii="仿宋_GB2312" w:hAnsi="仿宋_GB2312" w:eastAsia="仿宋_GB2312" w:cs="仿宋_GB2312"/>
          <w:color w:val="auto"/>
          <w:sz w:val="32"/>
          <w:szCs w:val="32"/>
          <w:highlight w:val="none"/>
          <w:lang w:val="en-US" w:eastAsia="zh-CN"/>
        </w:rPr>
        <w:t>辽宁省拍卖行</w:t>
      </w:r>
      <w:r>
        <w:rPr>
          <w:rFonts w:hint="default" w:ascii="仿宋_GB2312" w:hAnsi="仿宋_GB2312" w:eastAsia="仿宋_GB2312" w:cs="仿宋_GB2312"/>
          <w:color w:val="auto"/>
          <w:sz w:val="32"/>
          <w:szCs w:val="32"/>
          <w:highlight w:val="none"/>
          <w:lang w:val="en-US" w:eastAsia="zh-CN"/>
        </w:rPr>
        <w:t>应配合</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将原买受人进行拉黑</w:t>
      </w:r>
      <w:r>
        <w:rPr>
          <w:rFonts w:hint="eastAsia" w:ascii="仿宋_GB2312" w:hAnsi="仿宋_GB2312" w:eastAsia="仿宋_GB2312" w:cs="仿宋_GB2312"/>
          <w:color w:val="auto"/>
          <w:sz w:val="32"/>
          <w:szCs w:val="32"/>
          <w:highlight w:val="none"/>
          <w:lang w:val="en-US" w:eastAsia="zh-CN"/>
        </w:rPr>
        <w:t>。</w:t>
      </w:r>
    </w:p>
    <w:p w14:paraId="13679E62">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再行拍卖的价款低于原拍卖价款的，且扣除的竞买保证金无法覆盖全部差额的部分，由原买受人补足，我院保留起诉权利。</w:t>
      </w:r>
    </w:p>
    <w:p w14:paraId="4B807726">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US" w:eastAsia="zh-CN"/>
        </w:rPr>
        <w:t>‌技术手段不当利用‌：利用技术手段恶意对其他经营者合法提供的网络产品或者服务实施</w:t>
      </w:r>
      <w:r>
        <w:rPr>
          <w:rFonts w:hint="eastAsia" w:ascii="仿宋_GB2312" w:hAnsi="仿宋_GB2312" w:eastAsia="仿宋_GB2312" w:cs="仿宋_GB2312"/>
          <w:color w:val="auto"/>
          <w:sz w:val="32"/>
          <w:szCs w:val="32"/>
          <w:highlight w:val="none"/>
          <w:lang w:val="en-US" w:eastAsia="zh-CN"/>
        </w:rPr>
        <w:t>攻击的。</w:t>
      </w:r>
    </w:p>
    <w:p w14:paraId="697D1779">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最终竞拍结果解释权归院方所有。</w:t>
      </w:r>
    </w:p>
    <w:p w14:paraId="4B76D562">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六、招租招商联系方式</w:t>
      </w:r>
    </w:p>
    <w:p w14:paraId="28E4EE9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招租人：辽宁方大总医院有限公司</w:t>
      </w:r>
    </w:p>
    <w:p w14:paraId="71A0E712">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地  址：辽宁省沈抚示范区玄菟路588号</w:t>
      </w:r>
    </w:p>
    <w:p w14:paraId="44CD98C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报名邮箱：lnfdzyyhqb@163.com</w:t>
      </w:r>
      <w:r>
        <w:rPr>
          <w:rFonts w:hint="eastAsia" w:ascii="仿宋_GB2312" w:hAnsi="仿宋_GB2312" w:eastAsia="仿宋_GB2312" w:cs="仿宋_GB2312"/>
          <w:color w:val="auto"/>
          <w:w w:val="90"/>
          <w:sz w:val="32"/>
          <w:szCs w:val="32"/>
          <w:highlight w:val="none"/>
          <w:lang w:eastAsia="zh-CN"/>
        </w:rPr>
        <w:t>（</w:t>
      </w:r>
      <w:r>
        <w:rPr>
          <w:rFonts w:hint="eastAsia" w:ascii="仿宋_GB2312" w:hAnsi="仿宋_GB2312" w:eastAsia="仿宋_GB2312" w:cs="仿宋_GB2312"/>
          <w:color w:val="auto"/>
          <w:w w:val="90"/>
          <w:sz w:val="32"/>
          <w:szCs w:val="32"/>
          <w:highlight w:val="none"/>
          <w:lang w:val="en-US" w:eastAsia="zh-CN"/>
        </w:rPr>
        <w:t>邮件中需注明联系电话</w:t>
      </w:r>
      <w:r>
        <w:rPr>
          <w:rFonts w:hint="eastAsia" w:ascii="仿宋_GB2312" w:hAnsi="仿宋_GB2312" w:eastAsia="仿宋_GB2312" w:cs="仿宋_GB2312"/>
          <w:color w:val="auto"/>
          <w:w w:val="90"/>
          <w:sz w:val="32"/>
          <w:szCs w:val="32"/>
          <w:highlight w:val="none"/>
          <w:lang w:eastAsia="zh-CN"/>
        </w:rPr>
        <w:t>）</w:t>
      </w:r>
    </w:p>
    <w:p w14:paraId="1E6B9C4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联系电话：</w:t>
      </w:r>
      <w:r>
        <w:rPr>
          <w:rFonts w:hint="eastAsia" w:ascii="仿宋_GB2312" w:hAnsi="仿宋_GB2312" w:eastAsia="仿宋_GB2312" w:cs="仿宋_GB2312"/>
          <w:color w:val="auto"/>
          <w:sz w:val="32"/>
          <w:szCs w:val="32"/>
          <w:highlight w:val="none"/>
          <w:lang w:val="en-US" w:eastAsia="zh-CN"/>
        </w:rPr>
        <w:t>16609802611（孙一嫡）</w:t>
      </w:r>
    </w:p>
    <w:p w14:paraId="2158402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textAlignment w:val="auto"/>
        <w:rPr>
          <w:rFonts w:hint="eastAsia"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 xml:space="preserve">    </w:t>
      </w:r>
    </w:p>
    <w:p w14:paraId="16D2E441">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附件1.辽宁方大总医院水吧、咖啡、甜品、洗车等招租招商公告</w:t>
      </w:r>
    </w:p>
    <w:p w14:paraId="72192D29">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附件2.</w:t>
      </w:r>
      <w:r>
        <w:rPr>
          <w:rFonts w:hint="default" w:ascii="仿宋_GB2312" w:hAnsi="仿宋_GB2312" w:eastAsia="仿宋_GB2312" w:cs="仿宋_GB2312"/>
          <w:color w:val="auto"/>
          <w:sz w:val="32"/>
          <w:szCs w:val="32"/>
          <w:highlight w:val="none"/>
          <w:shd w:val="clear" w:color="auto" w:fill="FFFFFF"/>
          <w:lang w:val="en-US" w:eastAsia="zh-CN"/>
        </w:rPr>
        <w:t>辽宁方大总医院</w:t>
      </w:r>
      <w:r>
        <w:rPr>
          <w:rFonts w:hint="eastAsia" w:ascii="仿宋_GB2312" w:hAnsi="仿宋_GB2312" w:eastAsia="仿宋_GB2312" w:cs="仿宋_GB2312"/>
          <w:color w:val="auto"/>
          <w:sz w:val="32"/>
          <w:szCs w:val="32"/>
          <w:highlight w:val="none"/>
          <w:shd w:val="clear" w:color="auto" w:fill="FFFFFF"/>
          <w:lang w:val="en-US" w:eastAsia="zh-CN"/>
        </w:rPr>
        <w:t>招商项目布局</w:t>
      </w:r>
      <w:r>
        <w:rPr>
          <w:rFonts w:hint="default" w:ascii="仿宋_GB2312" w:hAnsi="仿宋_GB2312" w:eastAsia="仿宋_GB2312" w:cs="仿宋_GB2312"/>
          <w:color w:val="auto"/>
          <w:sz w:val="32"/>
          <w:szCs w:val="32"/>
          <w:highlight w:val="none"/>
          <w:shd w:val="clear" w:color="auto" w:fill="FFFFFF"/>
          <w:lang w:val="en-US" w:eastAsia="zh-CN"/>
        </w:rPr>
        <w:t>图</w:t>
      </w:r>
    </w:p>
    <w:p w14:paraId="51A17CD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auto"/>
          <w:sz w:val="32"/>
          <w:szCs w:val="32"/>
          <w:highlight w:val="none"/>
          <w:shd w:val="clear" w:color="auto" w:fill="FFFFFF"/>
        </w:rPr>
      </w:pPr>
    </w:p>
    <w:p w14:paraId="2A71101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auto"/>
          <w:sz w:val="32"/>
          <w:szCs w:val="32"/>
          <w:highlight w:val="none"/>
          <w:shd w:val="clear" w:color="auto" w:fill="FFFFFF"/>
        </w:rPr>
      </w:pPr>
    </w:p>
    <w:p w14:paraId="3B3E52AA">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ascii="仿宋_GB2312" w:hAnsi="仿宋_GB2312" w:eastAsia="仿宋_GB2312" w:cs="仿宋_GB2312"/>
          <w:color w:val="auto"/>
          <w:sz w:val="32"/>
          <w:szCs w:val="32"/>
          <w:highlight w:val="none"/>
          <w:shd w:val="clear" w:color="auto" w:fill="FFFFFF"/>
        </w:rPr>
      </w:pPr>
      <w:r>
        <w:rPr>
          <w:rFonts w:hint="eastAsia" w:ascii="仿宋_GB2312" w:hAnsi="仿宋_GB2312" w:eastAsia="仿宋_GB2312" w:cs="仿宋_GB2312"/>
          <w:color w:val="auto"/>
          <w:sz w:val="32"/>
          <w:szCs w:val="32"/>
          <w:highlight w:val="none"/>
          <w:shd w:val="clear" w:color="auto" w:fill="FFFFFF"/>
        </w:rPr>
        <w:t xml:space="preserve">辽宁方大总医院有限公司     </w:t>
      </w:r>
    </w:p>
    <w:p w14:paraId="60F61D72">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hint="eastAsia" w:ascii="仿宋_GB2312" w:hAnsi="仿宋_GB2312" w:eastAsia="仿宋_GB2312" w:cs="仿宋_GB2312"/>
          <w:color w:val="auto"/>
          <w:sz w:val="32"/>
          <w:szCs w:val="32"/>
          <w:highlight w:val="none"/>
          <w:shd w:val="clear" w:color="auto" w:fill="FFFFFF"/>
        </w:rPr>
      </w:pPr>
      <w:r>
        <w:rPr>
          <w:rFonts w:hint="eastAsia" w:ascii="仿宋_GB2312" w:hAnsi="仿宋_GB2312" w:eastAsia="仿宋_GB2312" w:cs="仿宋_GB2312"/>
          <w:color w:val="auto"/>
          <w:sz w:val="32"/>
          <w:szCs w:val="32"/>
          <w:highlight w:val="none"/>
          <w:shd w:val="clear" w:color="auto" w:fill="FFFFFF"/>
        </w:rPr>
        <w:t>202</w:t>
      </w:r>
      <w:r>
        <w:rPr>
          <w:rFonts w:hint="eastAsia" w:ascii="仿宋_GB2312" w:hAnsi="仿宋_GB2312" w:eastAsia="仿宋_GB2312" w:cs="仿宋_GB2312"/>
          <w:color w:val="auto"/>
          <w:sz w:val="32"/>
          <w:szCs w:val="32"/>
          <w:highlight w:val="none"/>
          <w:shd w:val="clear" w:color="auto" w:fill="FFFFFF"/>
          <w:lang w:val="en-US" w:eastAsia="zh-CN"/>
        </w:rPr>
        <w:t>5</w:t>
      </w:r>
      <w:r>
        <w:rPr>
          <w:rFonts w:hint="eastAsia" w:ascii="仿宋_GB2312" w:hAnsi="仿宋_GB2312" w:eastAsia="仿宋_GB2312" w:cs="仿宋_GB2312"/>
          <w:color w:val="auto"/>
          <w:sz w:val="32"/>
          <w:szCs w:val="32"/>
          <w:highlight w:val="none"/>
          <w:shd w:val="clear" w:color="auto" w:fill="FFFFFF"/>
        </w:rPr>
        <w:t>年</w:t>
      </w:r>
      <w:r>
        <w:rPr>
          <w:rFonts w:hint="eastAsia" w:ascii="仿宋_GB2312" w:hAnsi="仿宋_GB2312" w:eastAsia="仿宋_GB2312" w:cs="仿宋_GB2312"/>
          <w:color w:val="auto"/>
          <w:sz w:val="32"/>
          <w:szCs w:val="32"/>
          <w:highlight w:val="none"/>
          <w:shd w:val="clear" w:color="auto" w:fill="FFFFFF"/>
          <w:lang w:val="en-US" w:eastAsia="zh-CN"/>
        </w:rPr>
        <w:t>1</w:t>
      </w:r>
      <w:r>
        <w:rPr>
          <w:rFonts w:hint="eastAsia" w:ascii="仿宋_GB2312" w:hAnsi="仿宋_GB2312" w:eastAsia="仿宋_GB2312" w:cs="仿宋_GB2312"/>
          <w:color w:val="auto"/>
          <w:sz w:val="32"/>
          <w:szCs w:val="32"/>
          <w:highlight w:val="none"/>
          <w:shd w:val="clear" w:color="auto" w:fill="FFFFFF"/>
        </w:rPr>
        <w:t>月</w:t>
      </w:r>
      <w:r>
        <w:rPr>
          <w:rFonts w:hint="eastAsia" w:ascii="仿宋_GB2312" w:hAnsi="仿宋_GB2312" w:eastAsia="仿宋_GB2312" w:cs="仿宋_GB2312"/>
          <w:color w:val="auto"/>
          <w:sz w:val="32"/>
          <w:szCs w:val="32"/>
          <w:highlight w:val="none"/>
          <w:shd w:val="clear" w:color="auto" w:fill="FFFFFF"/>
          <w:lang w:val="en-US" w:eastAsia="zh-CN"/>
        </w:rPr>
        <w:t>6</w:t>
      </w:r>
      <w:r>
        <w:rPr>
          <w:rFonts w:hint="eastAsia" w:ascii="仿宋_GB2312" w:hAnsi="仿宋_GB2312" w:eastAsia="仿宋_GB2312" w:cs="仿宋_GB2312"/>
          <w:color w:val="auto"/>
          <w:sz w:val="32"/>
          <w:szCs w:val="32"/>
          <w:highlight w:val="none"/>
          <w:shd w:val="clear" w:color="auto" w:fill="FFFFFF"/>
        </w:rPr>
        <w:t xml:space="preserve">日        </w:t>
      </w:r>
    </w:p>
    <w:p w14:paraId="45288FDB">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2BBE725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6ADA2E12">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178A99E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7C5CE3A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8DC5FA0">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21863C5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bookmarkStart w:id="0" w:name="_GoBack"/>
      <w:bookmarkEnd w:id="0"/>
    </w:p>
    <w:p w14:paraId="0468F8E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6806DD3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042013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4B7232B4">
      <w:pPr>
        <w:jc w:val="center"/>
        <w:rPr>
          <w:rFonts w:hint="eastAsia" w:ascii="小标宋" w:hAnsi="小标宋" w:eastAsia="小标宋" w:cs="小标宋"/>
          <w:b/>
          <w:bCs/>
          <w:color w:val="auto"/>
          <w:sz w:val="44"/>
          <w:szCs w:val="44"/>
          <w:highlight w:val="none"/>
        </w:rPr>
      </w:pPr>
      <w:r>
        <w:rPr>
          <w:rFonts w:hint="eastAsia" w:ascii="小标宋" w:hAnsi="小标宋" w:eastAsia="小标宋" w:cs="小标宋"/>
          <w:b/>
          <w:bCs/>
          <w:color w:val="auto"/>
          <w:sz w:val="44"/>
          <w:szCs w:val="44"/>
          <w:highlight w:val="none"/>
        </w:rPr>
        <w:t>拍卖规则</w:t>
      </w:r>
    </w:p>
    <w:p w14:paraId="0C185CFF">
      <w:pPr>
        <w:spacing w:line="24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第一条：为维护委托人、竞买人切身利益，确保拍卖活动在公开、公正、公平，诚实信用，价高者得原则的基础上有效进行，现依据《中华人民共和国拍卖法》和</w:t>
      </w:r>
      <w:r>
        <w:rPr>
          <w:rFonts w:hint="eastAsia" w:ascii="仿宋_GB2312" w:hAnsi="仿宋_GB2312" w:eastAsia="仿宋_GB2312" w:cs="仿宋_GB2312"/>
          <w:color w:val="auto"/>
          <w:sz w:val="24"/>
          <w:szCs w:val="24"/>
          <w:highlight w:val="none"/>
          <w:lang w:eastAsia="zh-CN"/>
        </w:rPr>
        <w:t>法律法规</w:t>
      </w:r>
      <w:r>
        <w:rPr>
          <w:rFonts w:hint="eastAsia" w:ascii="仿宋_GB2312" w:hAnsi="仿宋_GB2312" w:eastAsia="仿宋_GB2312" w:cs="仿宋_GB2312"/>
          <w:color w:val="auto"/>
          <w:sz w:val="24"/>
          <w:szCs w:val="24"/>
          <w:highlight w:val="none"/>
        </w:rPr>
        <w:t>法规及拍卖惯例，特制定本规则。</w:t>
      </w:r>
    </w:p>
    <w:p w14:paraId="770FF19D">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第二条：凡参加竞买活动的当事人必须认真阅读、领会、遵守【202</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年</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月</w:t>
      </w:r>
      <w:r>
        <w:rPr>
          <w:rFonts w:hint="eastAsia" w:ascii="仿宋_GB2312" w:hAnsi="仿宋_GB2312" w:eastAsia="仿宋_GB2312" w:cs="仿宋_GB2312"/>
          <w:color w:val="auto"/>
          <w:sz w:val="24"/>
          <w:szCs w:val="24"/>
          <w:highlight w:val="none"/>
          <w:lang w:val="en-US" w:eastAsia="zh-CN"/>
        </w:rPr>
        <w:t>6日</w:t>
      </w:r>
      <w:r>
        <w:rPr>
          <w:rFonts w:hint="eastAsia" w:ascii="仿宋_GB2312" w:hAnsi="仿宋_GB2312" w:eastAsia="仿宋_GB2312" w:cs="仿宋_GB2312"/>
          <w:color w:val="auto"/>
          <w:sz w:val="24"/>
          <w:szCs w:val="24"/>
          <w:highlight w:val="none"/>
        </w:rPr>
        <w:t>（延时除外）】拍卖会的《拍卖规则》、《竞买注意事项》和委托人制定标的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条款，并对自己的行为负责。</w:t>
      </w:r>
    </w:p>
    <w:p w14:paraId="70B9D23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第三条：竞买人欲竞买标的，应在拍卖前交付竞买保证金，并提供有效证件办理竞买手续。</w:t>
      </w:r>
    </w:p>
    <w:p w14:paraId="23C2963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第四条：竞买人应在参加竞买前认真勘察拍卖标的。凡未经实地查看拍卖标的和未详细了解标的相关情况者，请不要参与投价竞买，拍卖人、委托人对标的不承担任何瑕疵担保责任。</w:t>
      </w:r>
    </w:p>
    <w:p w14:paraId="7B08CCB5">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五条：竞买人一经办理竞买手续，即表示对竞买标的的现实品质及瑕疵确认负责，对房屋的建筑面积、房屋朝向、结构设施等有无缺损，标的内附属设施物品等的现有品质、数量，以及对有关证件、资料的有无、真伪等都予以认可，确认无误。</w:t>
      </w:r>
    </w:p>
    <w:p w14:paraId="1BA2461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第六条：拍卖采取有底价增价式拍卖。</w:t>
      </w:r>
    </w:p>
    <w:p w14:paraId="3B67065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第七条：一经拍卖结束，成交行为成立，竞买成功者即成为买受人，则委托人、拍卖人、买受人均已认可成交行为及本规则和《竞买注意事项》，各方均受法律保护和约束。</w:t>
      </w:r>
    </w:p>
    <w:p w14:paraId="7A6C183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第八条：标的拍卖成交，买受人当场签署《拍卖成交确认书》及交纳标的拍卖佣金后，方能与委托人签署</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，并交纳标的第一期房屋租赁使用租金、与委托人办理买受标的移交等后续工作。</w:t>
      </w:r>
    </w:p>
    <w:p w14:paraId="1FE9EE8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第九条：标的成交后，买受人应按委托人规定要求的时间内将拍卖标的第一期租赁使用权租金交齐、签署</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条款，办理标的移交等后续工作。到期未交，视为买受人违约并自动放弃标的，其所交纳的竞买保证金（即标的履约保证金）不退，由委托人与拍卖人全权处置，并买受人按《中华人民共和国拍卖法》相关规定承担违约责任。</w:t>
      </w:r>
      <w:r>
        <w:rPr>
          <w:rFonts w:hint="eastAsia" w:ascii="仿宋_GB2312" w:hAnsi="仿宋_GB2312" w:eastAsia="仿宋_GB2312" w:cs="仿宋_GB2312"/>
          <w:color w:val="auto"/>
          <w:sz w:val="24"/>
          <w:szCs w:val="24"/>
          <w:highlight w:val="none"/>
          <w:lang w:val="en-US" w:eastAsia="zh-CN"/>
        </w:rPr>
        <w:t>另行拍卖且成交的，</w:t>
      </w:r>
      <w:r>
        <w:rPr>
          <w:rFonts w:hint="eastAsia" w:ascii="仿宋_GB2312" w:hAnsi="仿宋_GB2312" w:eastAsia="仿宋_GB2312" w:cs="仿宋_GB2312"/>
          <w:color w:val="auto"/>
          <w:sz w:val="24"/>
          <w:szCs w:val="24"/>
          <w:highlight w:val="none"/>
        </w:rPr>
        <w:t>扣除的竞买保证金无法覆盖全部的差额部分，由原买受人补足，我院保留起诉权利。同时，原买受人不得参与我院任意一轮竞拍，辽宁省拍卖行应配合我院将原买受人进行拉黑。</w:t>
      </w:r>
    </w:p>
    <w:p w14:paraId="6C71080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第十条：拍卖标的有关资料和法律文件等以委托人向买受人实际提供为准，拍卖人不作任何担保。</w:t>
      </w:r>
    </w:p>
    <w:p w14:paraId="78AF37B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第十一条：标的拍卖成交后，</w:t>
      </w:r>
      <w:r>
        <w:rPr>
          <w:rFonts w:hint="eastAsia" w:ascii="仿宋_GB2312" w:hAnsi="仿宋_GB2312" w:eastAsia="仿宋_GB2312" w:cs="仿宋_GB2312"/>
          <w:b/>
          <w:bCs/>
          <w:color w:val="auto"/>
          <w:sz w:val="24"/>
          <w:szCs w:val="24"/>
          <w:highlight w:val="none"/>
          <w:u w:val="single"/>
        </w:rPr>
        <w:t>买受人一次性向拍卖人支付标成交价2%的佣金</w:t>
      </w:r>
      <w:r>
        <w:rPr>
          <w:rFonts w:hint="eastAsia" w:ascii="仿宋_GB2312" w:hAnsi="仿宋_GB2312" w:eastAsia="仿宋_GB2312" w:cs="仿宋_GB2312"/>
          <w:color w:val="auto"/>
          <w:sz w:val="24"/>
          <w:szCs w:val="24"/>
          <w:highlight w:val="none"/>
        </w:rPr>
        <w:t>。</w:t>
      </w:r>
    </w:p>
    <w:p w14:paraId="4A0D2ADD">
      <w:pPr>
        <w:rPr>
          <w:rFonts w:hint="eastAsia" w:ascii="仿宋_GB2312" w:hAnsi="仿宋_GB2312" w:eastAsia="仿宋_GB2312" w:cs="仿宋_GB2312"/>
          <w:b/>
          <w:bCs/>
          <w:color w:val="auto"/>
          <w:sz w:val="24"/>
          <w:szCs w:val="24"/>
          <w:highlight w:val="none"/>
        </w:rPr>
      </w:pPr>
    </w:p>
    <w:p w14:paraId="03060B9B">
      <w:pPr>
        <w:rPr>
          <w:rFonts w:hint="eastAsia" w:ascii="仿宋_GB2312" w:hAnsi="仿宋_GB2312" w:eastAsia="仿宋_GB2312" w:cs="仿宋_GB2312"/>
          <w:b/>
          <w:bCs/>
          <w:color w:val="auto"/>
          <w:sz w:val="24"/>
          <w:szCs w:val="24"/>
          <w:highlight w:val="none"/>
        </w:rPr>
      </w:pPr>
    </w:p>
    <w:p w14:paraId="74F9B4A2">
      <w:pPr>
        <w:ind w:firstLine="4337" w:firstLineChars="18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辽宁省拍卖行</w:t>
      </w:r>
    </w:p>
    <w:p w14:paraId="2A939194">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p>
    <w:p w14:paraId="1031CE41">
      <w:pPr>
        <w:rPr>
          <w:rFonts w:hint="eastAsia" w:ascii="仿宋_GB2312" w:hAnsi="仿宋_GB2312" w:eastAsia="仿宋_GB2312" w:cs="仿宋_GB2312"/>
          <w:color w:val="auto"/>
          <w:sz w:val="24"/>
          <w:szCs w:val="24"/>
          <w:highlight w:val="none"/>
        </w:rPr>
      </w:pPr>
    </w:p>
    <w:p w14:paraId="7561B2AB">
      <w:pPr>
        <w:rPr>
          <w:color w:val="auto"/>
          <w:sz w:val="24"/>
          <w:szCs w:val="24"/>
          <w:highlight w:val="none"/>
        </w:rPr>
      </w:pPr>
    </w:p>
    <w:p w14:paraId="4A2307C1">
      <w:pPr>
        <w:rPr>
          <w:color w:val="auto"/>
          <w:sz w:val="24"/>
          <w:szCs w:val="24"/>
          <w:highlight w:val="none"/>
        </w:rPr>
      </w:pPr>
    </w:p>
    <w:p w14:paraId="76925A75">
      <w:pPr>
        <w:rPr>
          <w:color w:val="auto"/>
          <w:sz w:val="24"/>
          <w:szCs w:val="24"/>
          <w:highlight w:val="none"/>
        </w:rPr>
      </w:pPr>
    </w:p>
    <w:p w14:paraId="6676066C">
      <w:pPr>
        <w:jc w:val="center"/>
        <w:rPr>
          <w:rFonts w:hint="eastAsia" w:ascii="小标宋" w:hAnsi="小标宋" w:eastAsia="小标宋" w:cs="小标宋"/>
          <w:color w:val="auto"/>
          <w:sz w:val="44"/>
          <w:szCs w:val="44"/>
          <w:highlight w:val="none"/>
        </w:rPr>
      </w:pPr>
      <w:r>
        <w:rPr>
          <w:rFonts w:hint="eastAsia" w:ascii="小标宋" w:hAnsi="小标宋" w:eastAsia="小标宋" w:cs="小标宋"/>
          <w:b/>
          <w:bCs/>
          <w:color w:val="auto"/>
          <w:sz w:val="44"/>
          <w:szCs w:val="44"/>
          <w:highlight w:val="none"/>
        </w:rPr>
        <w:t>竞买注意事项</w:t>
      </w:r>
    </w:p>
    <w:p w14:paraId="58E153B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一、竞买人参加竞买，须提供有效证件和竞买保证金办理竞买手续。其中有效证件包括：</w:t>
      </w:r>
    </w:p>
    <w:p w14:paraId="62E919E2">
      <w:pP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一</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自然人竞买，</w:t>
      </w:r>
      <w:r>
        <w:rPr>
          <w:rFonts w:hint="eastAsia" w:ascii="仿宋_GB2312" w:hAnsi="仿宋_GB2312" w:eastAsia="仿宋_GB2312" w:cs="仿宋_GB2312"/>
          <w:color w:val="auto"/>
          <w:sz w:val="24"/>
          <w:szCs w:val="24"/>
          <w:highlight w:val="none"/>
          <w:lang w:val="en-US" w:eastAsia="zh-CN"/>
        </w:rPr>
        <w:t>从报名至项目完成全过程均须由本人提供</w:t>
      </w:r>
      <w:r>
        <w:rPr>
          <w:rFonts w:hint="eastAsia" w:ascii="仿宋_GB2312" w:hAnsi="仿宋_GB2312" w:eastAsia="仿宋_GB2312" w:cs="仿宋_GB2312"/>
          <w:color w:val="auto"/>
          <w:sz w:val="24"/>
          <w:szCs w:val="24"/>
          <w:highlight w:val="none"/>
        </w:rPr>
        <w:t>本人身份证</w:t>
      </w:r>
      <w:r>
        <w:rPr>
          <w:rFonts w:hint="eastAsia" w:ascii="仿宋_GB2312" w:hAnsi="仿宋_GB2312" w:eastAsia="仿宋_GB2312" w:cs="仿宋_GB2312"/>
          <w:color w:val="auto"/>
          <w:sz w:val="24"/>
          <w:szCs w:val="24"/>
          <w:highlight w:val="none"/>
          <w:lang w:val="en-US" w:eastAsia="zh-CN"/>
        </w:rPr>
        <w:t>办理。</w:t>
      </w:r>
    </w:p>
    <w:p w14:paraId="6790D406">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法人或其他组织竞买，提供加盖公章的企业营业执照副本、机构代码证和法定代表人或负责人身份证明复印件。</w:t>
      </w:r>
    </w:p>
    <w:p w14:paraId="3A22D46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如委托竞买，请提供被委托人身份证明及委托人亲笔签名或加盖公章的授权委托书（委托书应根据有关法律法规规定的内容制订）。</w:t>
      </w:r>
    </w:p>
    <w:p w14:paraId="653C492A">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二、参加竞买者必须遵守本场拍卖会的《拍卖规则》、《竞买注意事项》及委托人制定的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、《承租户消防安全责任书》的各项条款后，方可办理竞买登记手续。</w:t>
      </w:r>
    </w:p>
    <w:p w14:paraId="54CFBBD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三、竞买标的须交纳标的竞买保证金</w:t>
      </w:r>
    </w:p>
    <w:p w14:paraId="4066941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b/>
          <w:bCs/>
          <w:color w:val="auto"/>
          <w:sz w:val="24"/>
          <w:szCs w:val="24"/>
          <w:highlight w:val="none"/>
        </w:rPr>
        <w:t> </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lang w:val="en-US" w:eastAsia="zh-CN"/>
        </w:rPr>
        <w:t>一</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本次拍卖的标的</w:t>
      </w:r>
      <w:r>
        <w:rPr>
          <w:rFonts w:hint="eastAsia" w:ascii="仿宋_GB2312" w:hAnsi="仿宋_GB2312" w:eastAsia="仿宋_GB2312" w:cs="仿宋_GB2312"/>
          <w:b/>
          <w:bCs/>
          <w:color w:val="auto"/>
          <w:sz w:val="24"/>
          <w:szCs w:val="24"/>
          <w:highlight w:val="none"/>
          <w:lang w:val="en-US" w:eastAsia="zh-CN"/>
        </w:rPr>
        <w:t>竞买</w:t>
      </w:r>
      <w:r>
        <w:rPr>
          <w:rFonts w:hint="eastAsia" w:ascii="仿宋_GB2312" w:hAnsi="仿宋_GB2312" w:eastAsia="仿宋_GB2312" w:cs="仿宋_GB2312"/>
          <w:b/>
          <w:bCs/>
          <w:color w:val="auto"/>
          <w:sz w:val="24"/>
          <w:szCs w:val="24"/>
          <w:highlight w:val="none"/>
        </w:rPr>
        <w:t>保证金</w:t>
      </w:r>
      <w:r>
        <w:rPr>
          <w:rFonts w:hint="eastAsia" w:ascii="仿宋_GB2312" w:hAnsi="仿宋_GB2312" w:eastAsia="仿宋_GB2312" w:cs="仿宋_GB2312"/>
          <w:b/>
          <w:bCs/>
          <w:color w:val="auto"/>
          <w:sz w:val="24"/>
          <w:szCs w:val="24"/>
          <w:highlight w:val="none"/>
          <w:lang w:val="en-US" w:eastAsia="zh-CN"/>
        </w:rPr>
        <w:t>收取3</w:t>
      </w:r>
      <w:r>
        <w:rPr>
          <w:rFonts w:hint="eastAsia" w:ascii="仿宋_GB2312" w:hAnsi="仿宋_GB2312" w:eastAsia="仿宋_GB2312" w:cs="仿宋_GB2312"/>
          <w:b/>
          <w:bCs/>
          <w:color w:val="auto"/>
          <w:sz w:val="24"/>
          <w:szCs w:val="24"/>
          <w:highlight w:val="none"/>
        </w:rPr>
        <w:t>万元，在公拍网交付。</w:t>
      </w:r>
      <w:r>
        <w:rPr>
          <w:rFonts w:hint="eastAsia" w:ascii="仿宋_GB2312" w:hAnsi="仿宋_GB2312" w:eastAsia="仿宋_GB2312" w:cs="仿宋_GB2312"/>
          <w:color w:val="auto"/>
          <w:sz w:val="24"/>
          <w:szCs w:val="24"/>
          <w:highlight w:val="none"/>
        </w:rPr>
        <w:t>拍卖会未成交的竞买人交付的保证金须待拍卖会结束后的</w:t>
      </w:r>
      <w:r>
        <w:rPr>
          <w:rFonts w:hint="eastAsia" w:ascii="仿宋_GB2312" w:hAnsi="仿宋_GB2312" w:eastAsia="仿宋_GB2312" w:cs="仿宋_GB2312"/>
          <w:color w:val="auto"/>
          <w:sz w:val="24"/>
          <w:szCs w:val="24"/>
          <w:highlight w:val="none"/>
          <w:lang w:val="en-US" w:eastAsia="zh-CN"/>
        </w:rPr>
        <w:t>30</w:t>
      </w:r>
      <w:r>
        <w:rPr>
          <w:rFonts w:hint="eastAsia" w:ascii="仿宋_GB2312" w:hAnsi="仿宋_GB2312" w:eastAsia="仿宋_GB2312" w:cs="仿宋_GB2312"/>
          <w:color w:val="auto"/>
          <w:sz w:val="24"/>
          <w:szCs w:val="24"/>
          <w:highlight w:val="none"/>
        </w:rPr>
        <w:t>个工作日内原路径返还（不计利息），拍卖会中途不返还保证金，款项到账时间以银联及发卡行规定为准。</w:t>
      </w:r>
    </w:p>
    <w:p w14:paraId="3A4C979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支付方式：现金、转账</w:t>
      </w:r>
    </w:p>
    <w:p w14:paraId="27605625">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每个标的的竞买保证金</w:t>
      </w:r>
      <w:r>
        <w:rPr>
          <w:rFonts w:hint="eastAsia" w:ascii="仿宋_GB2312" w:hAnsi="仿宋_GB2312" w:eastAsia="仿宋_GB2312" w:cs="仿宋_GB2312"/>
          <w:color w:val="auto"/>
          <w:sz w:val="24"/>
          <w:szCs w:val="24"/>
          <w:highlight w:val="none"/>
          <w:lang w:val="en-US" w:eastAsia="zh-CN"/>
        </w:rPr>
        <w:t>需按时缴纳</w:t>
      </w:r>
      <w:r>
        <w:rPr>
          <w:rFonts w:hint="eastAsia" w:ascii="仿宋_GB2312" w:hAnsi="仿宋_GB2312" w:eastAsia="仿宋_GB2312" w:cs="仿宋_GB2312"/>
          <w:color w:val="auto"/>
          <w:sz w:val="24"/>
          <w:szCs w:val="24"/>
          <w:highlight w:val="none"/>
        </w:rPr>
        <w:t>，否则竞价无效；交至</w:t>
      </w:r>
      <w:r>
        <w:rPr>
          <w:rFonts w:hint="eastAsia" w:ascii="仿宋_GB2312" w:hAnsi="仿宋_GB2312" w:eastAsia="仿宋_GB2312" w:cs="仿宋_GB2312"/>
          <w:color w:val="auto"/>
          <w:sz w:val="24"/>
          <w:szCs w:val="24"/>
          <w:highlight w:val="none"/>
          <w:lang w:val="en-US" w:eastAsia="zh-CN"/>
        </w:rPr>
        <w:t>公拍网平台</w:t>
      </w:r>
      <w:r>
        <w:rPr>
          <w:rFonts w:hint="eastAsia" w:ascii="仿宋_GB2312" w:hAnsi="仿宋_GB2312" w:eastAsia="仿宋_GB2312" w:cs="仿宋_GB2312"/>
          <w:color w:val="auto"/>
          <w:sz w:val="24"/>
          <w:szCs w:val="24"/>
          <w:highlight w:val="none"/>
        </w:rPr>
        <w:t>的保证金回执，买受人在办理竞拍手续时，须上传到公拍网，作为参加竞拍的要件。</w:t>
      </w:r>
    </w:p>
    <w:p w14:paraId="35D59E9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lang w:val="en-US" w:eastAsia="zh-CN"/>
        </w:rPr>
        <w:t>四</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竞买人需在202</w:t>
      </w:r>
      <w:r>
        <w:rPr>
          <w:rFonts w:hint="eastAsia" w:ascii="仿宋_GB2312" w:hAnsi="仿宋_GB2312" w:eastAsia="仿宋_GB2312" w:cs="仿宋_GB2312"/>
          <w:b/>
          <w:bCs/>
          <w:color w:val="auto"/>
          <w:sz w:val="24"/>
          <w:szCs w:val="24"/>
          <w:highlight w:val="none"/>
          <w:lang w:val="en-US" w:eastAsia="zh-CN"/>
        </w:rPr>
        <w:t>5</w:t>
      </w:r>
      <w:r>
        <w:rPr>
          <w:rFonts w:hint="eastAsia" w:ascii="仿宋_GB2312" w:hAnsi="仿宋_GB2312" w:eastAsia="仿宋_GB2312" w:cs="仿宋_GB2312"/>
          <w:b/>
          <w:bCs/>
          <w:color w:val="auto"/>
          <w:sz w:val="24"/>
          <w:szCs w:val="24"/>
          <w:highlight w:val="none"/>
        </w:rPr>
        <w:t>年</w:t>
      </w:r>
      <w:r>
        <w:rPr>
          <w:rFonts w:hint="eastAsia" w:ascii="仿宋_GB2312" w:hAnsi="仿宋_GB2312" w:eastAsia="仿宋_GB2312" w:cs="仿宋_GB2312"/>
          <w:b/>
          <w:bCs/>
          <w:color w:val="auto"/>
          <w:sz w:val="24"/>
          <w:szCs w:val="24"/>
          <w:highlight w:val="none"/>
          <w:lang w:val="en-US" w:eastAsia="zh-CN"/>
        </w:rPr>
        <w:t>1</w:t>
      </w:r>
      <w:r>
        <w:rPr>
          <w:rFonts w:hint="eastAsia" w:ascii="仿宋_GB2312" w:hAnsi="仿宋_GB2312" w:eastAsia="仿宋_GB2312" w:cs="仿宋_GB2312"/>
          <w:b/>
          <w:bCs/>
          <w:color w:val="auto"/>
          <w:sz w:val="24"/>
          <w:szCs w:val="24"/>
          <w:highlight w:val="none"/>
        </w:rPr>
        <w:t>月</w:t>
      </w:r>
      <w:r>
        <w:rPr>
          <w:rFonts w:hint="eastAsia" w:ascii="仿宋_GB2312" w:hAnsi="仿宋_GB2312" w:eastAsia="仿宋_GB2312" w:cs="仿宋_GB2312"/>
          <w:b/>
          <w:bCs/>
          <w:color w:val="auto"/>
          <w:sz w:val="24"/>
          <w:szCs w:val="24"/>
          <w:highlight w:val="none"/>
          <w:lang w:val="en-US" w:eastAsia="zh-CN"/>
        </w:rPr>
        <w:t>15</w:t>
      </w:r>
      <w:r>
        <w:rPr>
          <w:rFonts w:hint="eastAsia" w:ascii="仿宋_GB2312" w:hAnsi="仿宋_GB2312" w:eastAsia="仿宋_GB2312" w:cs="仿宋_GB2312"/>
          <w:b/>
          <w:bCs/>
          <w:color w:val="auto"/>
          <w:sz w:val="24"/>
          <w:szCs w:val="24"/>
          <w:highlight w:val="none"/>
        </w:rPr>
        <w:t>日15时前（请在法定工作日办理）</w:t>
      </w:r>
      <w:r>
        <w:rPr>
          <w:rFonts w:hint="eastAsia" w:ascii="仿宋_GB2312" w:hAnsi="仿宋_GB2312" w:eastAsia="仿宋_GB2312" w:cs="仿宋_GB2312"/>
          <w:b/>
          <w:bCs/>
          <w:color w:val="auto"/>
          <w:sz w:val="24"/>
          <w:szCs w:val="24"/>
          <w:highlight w:val="none"/>
          <w:lang w:val="en-US" w:eastAsia="zh-CN"/>
        </w:rPr>
        <w:t>于公拍网平台上传</w:t>
      </w:r>
      <w:r>
        <w:rPr>
          <w:rFonts w:hint="eastAsia" w:ascii="仿宋_GB2312" w:hAnsi="仿宋_GB2312" w:eastAsia="仿宋_GB2312" w:cs="仿宋_GB2312"/>
          <w:b/>
          <w:bCs/>
          <w:color w:val="auto"/>
          <w:sz w:val="24"/>
          <w:szCs w:val="24"/>
          <w:highlight w:val="none"/>
        </w:rPr>
        <w:t>资质审核</w:t>
      </w:r>
      <w:r>
        <w:rPr>
          <w:rFonts w:hint="eastAsia" w:ascii="仿宋_GB2312" w:hAnsi="仿宋_GB2312" w:eastAsia="仿宋_GB2312" w:cs="仿宋_GB2312"/>
          <w:b/>
          <w:bCs/>
          <w:color w:val="auto"/>
          <w:sz w:val="24"/>
          <w:szCs w:val="24"/>
          <w:highlight w:val="none"/>
          <w:lang w:val="en-US" w:eastAsia="zh-CN"/>
        </w:rPr>
        <w:t>材料</w:t>
      </w:r>
      <w:r>
        <w:rPr>
          <w:rFonts w:hint="eastAsia" w:ascii="仿宋_GB2312" w:hAnsi="仿宋_GB2312" w:eastAsia="仿宋_GB2312" w:cs="仿宋_GB2312"/>
          <w:b/>
          <w:bCs/>
          <w:color w:val="auto"/>
          <w:sz w:val="24"/>
          <w:szCs w:val="24"/>
          <w:highlight w:val="none"/>
        </w:rPr>
        <w:t>，作为参加竞拍的要件逾期不予办理。</w:t>
      </w:r>
    </w:p>
    <w:p w14:paraId="5F30BAF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五</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竞买人应使用本人名下的卡账支付，如竞买人使用他人名下的卡账支付的，由此产生的法律后果由竞买人承担。须在打款用途上标注</w:t>
      </w:r>
      <w:r>
        <w:rPr>
          <w:rFonts w:hint="eastAsia" w:ascii="仿宋_GB2312" w:hAnsi="仿宋_GB2312" w:eastAsia="仿宋_GB2312" w:cs="仿宋_GB2312"/>
          <w:color w:val="auto"/>
          <w:sz w:val="24"/>
          <w:szCs w:val="24"/>
          <w:highlight w:val="none"/>
          <w:lang w:eastAsia="zh-CN"/>
        </w:rPr>
        <w:t>竞买保证金（</w:t>
      </w:r>
      <w:r>
        <w:rPr>
          <w:rFonts w:hint="eastAsia" w:ascii="仿宋_GB2312" w:hAnsi="仿宋_GB2312" w:eastAsia="仿宋_GB2312" w:cs="仿宋_GB2312"/>
          <w:color w:val="auto"/>
          <w:sz w:val="24"/>
          <w:szCs w:val="24"/>
          <w:highlight w:val="none"/>
          <w:lang w:val="en-US" w:eastAsia="zh-CN"/>
        </w:rPr>
        <w:t>X区X号商铺/合作服务</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，不标注清楚，不予办理竞买手续。</w:t>
      </w:r>
    </w:p>
    <w:p w14:paraId="0A12358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六</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线下部分保证金，如由他人代为支付，须在打款用途上标注替XX支付的</w:t>
      </w:r>
      <w:r>
        <w:rPr>
          <w:rFonts w:hint="eastAsia" w:ascii="仿宋_GB2312" w:hAnsi="仿宋_GB2312" w:eastAsia="仿宋_GB2312" w:cs="仿宋_GB2312"/>
          <w:color w:val="auto"/>
          <w:sz w:val="24"/>
          <w:szCs w:val="24"/>
          <w:highlight w:val="none"/>
          <w:lang w:eastAsia="zh-CN"/>
        </w:rPr>
        <w:t>竞买保证金（</w:t>
      </w:r>
      <w:r>
        <w:rPr>
          <w:rFonts w:hint="eastAsia" w:ascii="仿宋_GB2312" w:hAnsi="仿宋_GB2312" w:eastAsia="仿宋_GB2312" w:cs="仿宋_GB2312"/>
          <w:color w:val="auto"/>
          <w:sz w:val="24"/>
          <w:szCs w:val="24"/>
          <w:highlight w:val="none"/>
          <w:lang w:val="en-US" w:eastAsia="zh-CN"/>
        </w:rPr>
        <w:t>X区X号商铺/合作服务</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，不标注清楚，不予办理竞买手续。</w:t>
      </w:r>
    </w:p>
    <w:p w14:paraId="6F79EF3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四、本次拍卖采用网络拍卖的形式。</w:t>
      </w:r>
    </w:p>
    <w:p w14:paraId="33DB944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网络竞价时段（时间）：202</w:t>
      </w:r>
      <w:r>
        <w:rPr>
          <w:rFonts w:hint="eastAsia" w:ascii="仿宋_GB2312" w:hAnsi="仿宋_GB2312" w:eastAsia="仿宋_GB2312" w:cs="仿宋_GB2312"/>
          <w:b/>
          <w:bCs/>
          <w:color w:val="auto"/>
          <w:sz w:val="24"/>
          <w:szCs w:val="24"/>
          <w:highlight w:val="none"/>
          <w:lang w:val="en-US" w:eastAsia="zh-CN"/>
        </w:rPr>
        <w:t>5</w:t>
      </w:r>
      <w:r>
        <w:rPr>
          <w:rFonts w:hint="eastAsia" w:ascii="仿宋_GB2312" w:hAnsi="仿宋_GB2312" w:eastAsia="仿宋_GB2312" w:cs="仿宋_GB2312"/>
          <w:b/>
          <w:bCs/>
          <w:color w:val="auto"/>
          <w:sz w:val="24"/>
          <w:szCs w:val="24"/>
          <w:highlight w:val="none"/>
        </w:rPr>
        <w:t>年</w:t>
      </w:r>
      <w:r>
        <w:rPr>
          <w:rFonts w:hint="eastAsia" w:ascii="仿宋_GB2312" w:hAnsi="仿宋_GB2312" w:eastAsia="仿宋_GB2312" w:cs="仿宋_GB2312"/>
          <w:b/>
          <w:bCs/>
          <w:color w:val="auto"/>
          <w:sz w:val="24"/>
          <w:szCs w:val="24"/>
          <w:highlight w:val="none"/>
          <w:lang w:val="en-US" w:eastAsia="zh-CN"/>
        </w:rPr>
        <w:t>1</w:t>
      </w:r>
      <w:r>
        <w:rPr>
          <w:rFonts w:hint="eastAsia" w:ascii="仿宋_GB2312" w:hAnsi="仿宋_GB2312" w:eastAsia="仿宋_GB2312" w:cs="仿宋_GB2312"/>
          <w:b/>
          <w:bCs/>
          <w:color w:val="auto"/>
          <w:sz w:val="24"/>
          <w:szCs w:val="24"/>
          <w:highlight w:val="none"/>
        </w:rPr>
        <w:t>月</w:t>
      </w:r>
      <w:r>
        <w:rPr>
          <w:rFonts w:hint="eastAsia" w:ascii="仿宋_GB2312" w:hAnsi="仿宋_GB2312" w:eastAsia="仿宋_GB2312" w:cs="仿宋_GB2312"/>
          <w:b/>
          <w:bCs/>
          <w:color w:val="auto"/>
          <w:sz w:val="24"/>
          <w:szCs w:val="24"/>
          <w:highlight w:val="none"/>
          <w:lang w:val="en-US" w:eastAsia="zh-CN"/>
        </w:rPr>
        <w:t>23</w:t>
      </w:r>
      <w:r>
        <w:rPr>
          <w:rFonts w:hint="eastAsia" w:ascii="仿宋_GB2312" w:hAnsi="仿宋_GB2312" w:eastAsia="仿宋_GB2312" w:cs="仿宋_GB2312"/>
          <w:b/>
          <w:bCs/>
          <w:color w:val="auto"/>
          <w:sz w:val="24"/>
          <w:szCs w:val="24"/>
          <w:highlight w:val="none"/>
        </w:rPr>
        <w:t>日</w:t>
      </w:r>
      <w:r>
        <w:rPr>
          <w:rFonts w:hint="eastAsia" w:ascii="仿宋_GB2312" w:hAnsi="仿宋_GB2312" w:eastAsia="仿宋_GB2312" w:cs="仿宋_GB2312"/>
          <w:b/>
          <w:bCs/>
          <w:color w:val="auto"/>
          <w:sz w:val="24"/>
          <w:szCs w:val="24"/>
          <w:highlight w:val="none"/>
          <w:lang w:val="en-US" w:eastAsia="zh-CN"/>
        </w:rPr>
        <w:t>10-11点</w:t>
      </w:r>
      <w:r>
        <w:rPr>
          <w:rFonts w:hint="eastAsia" w:ascii="仿宋_GB2312" w:hAnsi="仿宋_GB2312" w:eastAsia="仿宋_GB2312" w:cs="仿宋_GB2312"/>
          <w:b/>
          <w:bCs/>
          <w:color w:val="auto"/>
          <w:sz w:val="24"/>
          <w:szCs w:val="24"/>
          <w:highlight w:val="none"/>
        </w:rPr>
        <w:t>（延时除外）</w:t>
      </w:r>
    </w:p>
    <w:p w14:paraId="09D56781">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网络竞价网址：</w:t>
      </w:r>
      <w:r>
        <w:rPr>
          <w:rFonts w:hint="eastAsia" w:ascii="仿宋_GB2312" w:hAnsi="仿宋_GB2312" w:eastAsia="仿宋_GB2312" w:cs="仿宋_GB2312"/>
          <w:color w:val="auto"/>
          <w:sz w:val="24"/>
          <w:szCs w:val="24"/>
          <w:highlight w:val="none"/>
        </w:rPr>
        <w:fldChar w:fldCharType="begin"/>
      </w:r>
      <w:r>
        <w:rPr>
          <w:rFonts w:hint="eastAsia" w:ascii="仿宋_GB2312" w:hAnsi="仿宋_GB2312" w:eastAsia="仿宋_GB2312" w:cs="仿宋_GB2312"/>
          <w:color w:val="auto"/>
          <w:sz w:val="24"/>
          <w:szCs w:val="24"/>
          <w:highlight w:val="none"/>
        </w:rPr>
        <w:instrText xml:space="preserve"> HYPERLINK "http://www.gpai.net/" </w:instrText>
      </w:r>
      <w:r>
        <w:rPr>
          <w:rFonts w:hint="eastAsia" w:ascii="仿宋_GB2312" w:hAnsi="仿宋_GB2312" w:eastAsia="仿宋_GB2312" w:cs="仿宋_GB2312"/>
          <w:color w:val="auto"/>
          <w:sz w:val="24"/>
          <w:szCs w:val="24"/>
          <w:highlight w:val="none"/>
        </w:rPr>
        <w:fldChar w:fldCharType="separate"/>
      </w:r>
      <w:r>
        <w:rPr>
          <w:rStyle w:val="9"/>
          <w:rFonts w:hint="eastAsia" w:ascii="仿宋_GB2312" w:hAnsi="仿宋_GB2312" w:eastAsia="仿宋_GB2312" w:cs="仿宋_GB2312"/>
          <w:b/>
          <w:bCs/>
          <w:color w:val="auto"/>
          <w:sz w:val="24"/>
          <w:szCs w:val="24"/>
          <w:highlight w:val="none"/>
        </w:rPr>
        <w:t>www.gpai.net</w:t>
      </w:r>
      <w:r>
        <w:rPr>
          <w:rStyle w:val="9"/>
          <w:rFonts w:hint="eastAsia" w:ascii="仿宋_GB2312" w:hAnsi="仿宋_GB2312" w:eastAsia="仿宋_GB2312" w:cs="仿宋_GB2312"/>
          <w:b/>
          <w:bCs/>
          <w:color w:val="auto"/>
          <w:sz w:val="24"/>
          <w:szCs w:val="24"/>
          <w:highlight w:val="none"/>
        </w:rPr>
        <w:fldChar w:fldCharType="end"/>
      </w:r>
      <w:r>
        <w:rPr>
          <w:rFonts w:hint="eastAsia" w:ascii="仿宋_GB2312" w:hAnsi="仿宋_GB2312" w:eastAsia="仿宋_GB2312" w:cs="仿宋_GB2312"/>
          <w:color w:val="auto"/>
          <w:sz w:val="24"/>
          <w:szCs w:val="24"/>
          <w:highlight w:val="none"/>
        </w:rPr>
        <w:t>；</w:t>
      </w:r>
    </w:p>
    <w:p w14:paraId="5690F64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获得参拍账户的竞买人可以在网络上进行</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小时出价、竞价，最终，以网络生成</w:t>
      </w:r>
      <w:r>
        <w:rPr>
          <w:rFonts w:hint="eastAsia" w:ascii="仿宋_GB2312" w:hAnsi="仿宋_GB2312" w:eastAsia="仿宋_GB2312" w:cs="仿宋_GB2312"/>
          <w:color w:val="auto"/>
          <w:sz w:val="24"/>
          <w:szCs w:val="24"/>
          <w:highlight w:val="none"/>
          <w:lang w:eastAsia="zh-CN"/>
        </w:rPr>
        <w:t>的</w:t>
      </w:r>
      <w:r>
        <w:rPr>
          <w:rFonts w:hint="eastAsia" w:ascii="仿宋_GB2312" w:hAnsi="仿宋_GB2312" w:eastAsia="仿宋_GB2312" w:cs="仿宋_GB2312"/>
          <w:color w:val="auto"/>
          <w:sz w:val="24"/>
          <w:szCs w:val="24"/>
          <w:highlight w:val="none"/>
        </w:rPr>
        <w:t>最高报价表示成交。竞买人应知晓网络拍卖有不确定性并可能影响到拍卖结果，竞买人将不会对拍卖结果持有任何异议，并认可拍卖人有权随时调整拍卖策略及程序，对整个拍卖过程有充分主持权。前述主持权包括但不限于决定拍卖是否成交（无论是否落槌）、视情况取消已成交拍卖、视情况决定中止、重新、继续拍卖等。</w:t>
      </w:r>
    </w:p>
    <w:p w14:paraId="1243CF04">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五、标的拍卖成交，</w:t>
      </w:r>
      <w:r>
        <w:rPr>
          <w:rFonts w:hint="eastAsia" w:ascii="仿宋_GB2312" w:hAnsi="仿宋_GB2312" w:eastAsia="仿宋_GB2312" w:cs="仿宋_GB2312"/>
          <w:b/>
          <w:bCs/>
          <w:color w:val="auto"/>
          <w:sz w:val="24"/>
          <w:szCs w:val="24"/>
          <w:highlight w:val="none"/>
        </w:rPr>
        <w:t>买受人应于成交后与委托人取得联系，签订租赁合同以及进驻时间等有关事宜，拍卖人不承担责任</w:t>
      </w:r>
      <w:r>
        <w:rPr>
          <w:rFonts w:hint="eastAsia" w:ascii="仿宋_GB2312" w:hAnsi="仿宋_GB2312" w:eastAsia="仿宋_GB2312" w:cs="仿宋_GB2312"/>
          <w:color w:val="auto"/>
          <w:sz w:val="24"/>
          <w:szCs w:val="24"/>
          <w:highlight w:val="none"/>
        </w:rPr>
        <w:t>。同时，买受人应在标的成交后3个工作日内，按委托人制定的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要求，将标的首期租金、标的拍卖佣金交转账到拍卖人指定账户。买受人逾期交纳标的成交款项（包括：拍卖佣金、标的租金、标的入住相关费用等）视为违约，其所交纳标的竞买保证金不予退还，并按本场拍卖会违约条款履行，追究买受人由此而给委托人、拍卖人造成的经济损失及承担相应的法律责任。</w:t>
      </w:r>
    </w:p>
    <w:p w14:paraId="4E69972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六、竞买人</w:t>
      </w:r>
      <w:r>
        <w:rPr>
          <w:rFonts w:hint="eastAsia" w:ascii="仿宋_GB2312" w:hAnsi="仿宋_GB2312" w:eastAsia="仿宋_GB2312" w:cs="仿宋_GB2312"/>
          <w:color w:val="auto"/>
          <w:sz w:val="24"/>
          <w:szCs w:val="24"/>
          <w:highlight w:val="none"/>
          <w:lang w:val="en-US" w:eastAsia="zh-CN"/>
        </w:rPr>
        <w:t>自行了解</w:t>
      </w:r>
      <w:r>
        <w:rPr>
          <w:rFonts w:hint="eastAsia" w:ascii="仿宋_GB2312" w:hAnsi="仿宋_GB2312" w:eastAsia="仿宋_GB2312" w:cs="仿宋_GB2312"/>
          <w:color w:val="auto"/>
          <w:sz w:val="24"/>
          <w:szCs w:val="24"/>
          <w:highlight w:val="none"/>
        </w:rPr>
        <w:t>标的</w:t>
      </w:r>
      <w:r>
        <w:rPr>
          <w:rFonts w:hint="eastAsia" w:ascii="仿宋_GB2312" w:hAnsi="仿宋_GB2312" w:eastAsia="仿宋_GB2312" w:cs="仿宋_GB2312"/>
          <w:color w:val="auto"/>
          <w:sz w:val="24"/>
          <w:szCs w:val="24"/>
          <w:highlight w:val="none"/>
          <w:lang w:val="en-US" w:eastAsia="zh-CN"/>
        </w:rPr>
        <w:t>情况</w:t>
      </w:r>
      <w:r>
        <w:rPr>
          <w:rFonts w:hint="eastAsia" w:ascii="仿宋_GB2312" w:hAnsi="仿宋_GB2312" w:eastAsia="仿宋_GB2312" w:cs="仿宋_GB2312"/>
          <w:color w:val="auto"/>
          <w:sz w:val="24"/>
          <w:szCs w:val="24"/>
          <w:highlight w:val="none"/>
        </w:rPr>
        <w:t>为实物现状拍卖，买受人参与拍卖即代表知晓并认可标的已知或未知瑕疵，拍卖成交后由买受人自行解决瑕疵有关事项，委托人、拍卖人不负责。</w:t>
      </w:r>
    </w:p>
    <w:p w14:paraId="43D8B70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七、买受人逾期交纳标的成交款项视为违约，按本场拍卖会违约条款履行，并追究买受人由此而给委托人、拍卖人造成的经济损失及承担相应的法律责任。</w:t>
      </w:r>
    </w:p>
    <w:p w14:paraId="6BF2EED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八、本场拍卖会未竞买成功者的竞买保证金，于拍卖会7个工作日，按竞买人交款原路径无息退还给竞买人。</w:t>
      </w:r>
    </w:p>
    <w:p w14:paraId="61C1CA1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九、 如标的拍卖成交后，买受人未按委托人要求及本场拍卖会要求的相关条款履行（包括但不限于：未按期与委托人签署</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未交齐拍卖标的全部成交款项、未与委托人办理标的移交入住手续等工作），其所交纳的标的竞拍保证金将自动转为违约金，不予退还，由拍卖人与委托人全权处置，并追究买受人由此而给委托人、拍卖人造成的经济损失及承担相应的法律责任。</w:t>
      </w:r>
    </w:p>
    <w:p w14:paraId="62734E8A">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十、《拍卖成交确认书》上签署的买受人名称即为实际买受人，在签署标的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承租户消防安全责任书》、交纳标的成交款、办理标的移交入住手续等相关事宜时，均以实际买受人为准。如未按本条款履行，即视为买受人违约，按违约相关条款执行，并追究买受人由此而给委托人、拍卖人造成的经济损失及承担相应的法律责任。</w:t>
      </w:r>
    </w:p>
    <w:p w14:paraId="12656A2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【特别提示】</w:t>
      </w:r>
    </w:p>
    <w:p w14:paraId="57A6249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一、</w:t>
      </w:r>
      <w:r>
        <w:rPr>
          <w:rFonts w:hint="eastAsia" w:ascii="仿宋_GB2312" w:hAnsi="仿宋_GB2312" w:eastAsia="仿宋_GB2312" w:cs="仿宋_GB2312"/>
          <w:b/>
          <w:bCs/>
          <w:color w:val="auto"/>
          <w:sz w:val="24"/>
          <w:szCs w:val="24"/>
          <w:highlight w:val="none"/>
        </w:rPr>
        <w:t>标的（具体租期以正式租赁合同为准）按标的现状进行拍卖。竞买人应同意履行并签署委托人制定的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租金实行先付后用原则，一年一付，第一年租金从租赁合同签订日起</w:t>
      </w:r>
      <w:r>
        <w:rPr>
          <w:rFonts w:hint="eastAsia" w:ascii="仿宋_GB2312" w:hAnsi="仿宋_GB2312" w:eastAsia="仿宋_GB2312" w:cs="仿宋_GB2312"/>
          <w:b/>
          <w:bCs/>
          <w:color w:val="auto"/>
          <w:sz w:val="24"/>
          <w:szCs w:val="24"/>
          <w:highlight w:val="none"/>
          <w:lang w:val="en-US" w:eastAsia="zh-CN"/>
        </w:rPr>
        <w:t>计算</w:t>
      </w:r>
      <w:r>
        <w:rPr>
          <w:rFonts w:hint="eastAsia" w:ascii="仿宋_GB2312" w:hAnsi="仿宋_GB2312" w:eastAsia="仿宋_GB2312" w:cs="仿宋_GB2312"/>
          <w:b/>
          <w:bCs/>
          <w:color w:val="auto"/>
          <w:sz w:val="24"/>
          <w:szCs w:val="24"/>
          <w:highlight w:val="none"/>
        </w:rPr>
        <w:t>。租赁期间由承租人负责资产的供暖、消防、水电、物业、网络、电话等费用，租赁期间由租赁双方承担各自应缴的税款。买受人在成交后应向委托人支付不低于</w:t>
      </w:r>
      <w:r>
        <w:rPr>
          <w:rFonts w:hint="eastAsia" w:ascii="仿宋_GB2312" w:hAnsi="仿宋_GB2312" w:eastAsia="仿宋_GB2312" w:cs="仿宋_GB2312"/>
          <w:b/>
          <w:bCs/>
          <w:color w:val="auto"/>
          <w:sz w:val="24"/>
          <w:szCs w:val="24"/>
          <w:highlight w:val="none"/>
          <w:lang w:val="en-US" w:eastAsia="zh-CN"/>
        </w:rPr>
        <w:t>6</w:t>
      </w:r>
      <w:r>
        <w:rPr>
          <w:rFonts w:hint="eastAsia" w:ascii="仿宋_GB2312" w:hAnsi="仿宋_GB2312" w:eastAsia="仿宋_GB2312" w:cs="仿宋_GB2312"/>
          <w:b/>
          <w:bCs/>
          <w:color w:val="auto"/>
          <w:sz w:val="24"/>
          <w:szCs w:val="24"/>
          <w:highlight w:val="none"/>
        </w:rPr>
        <w:t>个月租金的租赁押金。如中途中止承租协议，买受人应放弃装修投入成本的主张权益。委托人不承担因任何理由产生的关于装修款的相关赔偿。在租赁期间，委托人有权出售该资产。买受人如</w:t>
      </w:r>
      <w:r>
        <w:rPr>
          <w:rFonts w:hint="eastAsia" w:ascii="仿宋_GB2312" w:hAnsi="仿宋_GB2312" w:eastAsia="仿宋_GB2312" w:cs="仿宋_GB2312"/>
          <w:b/>
          <w:bCs/>
          <w:color w:val="auto"/>
          <w:sz w:val="24"/>
          <w:szCs w:val="24"/>
          <w:highlight w:val="none"/>
          <w:lang w:eastAsia="zh-CN"/>
        </w:rPr>
        <w:t>在</w:t>
      </w:r>
      <w:r>
        <w:rPr>
          <w:rFonts w:hint="eastAsia" w:ascii="仿宋_GB2312" w:hAnsi="仿宋_GB2312" w:eastAsia="仿宋_GB2312" w:cs="仿宋_GB2312"/>
          <w:b/>
          <w:bCs/>
          <w:color w:val="auto"/>
          <w:sz w:val="24"/>
          <w:szCs w:val="24"/>
          <w:highlight w:val="none"/>
        </w:rPr>
        <w:t>租赁期间欠缴租金，委托人有权将买受人清退，买受人不得以装修为由拒退或以其抵顶租金。</w:t>
      </w:r>
      <w:r>
        <w:rPr>
          <w:rFonts w:hint="eastAsia" w:ascii="仿宋_GB2312" w:hAnsi="仿宋_GB2312" w:eastAsia="仿宋_GB2312" w:cs="仿宋_GB2312"/>
          <w:color w:val="auto"/>
          <w:sz w:val="24"/>
          <w:szCs w:val="24"/>
          <w:highlight w:val="none"/>
        </w:rPr>
        <w:t>竞买人应遵守履行本场拍卖会的《拍卖规则》、《竞买注意事项》、《标的拍卖明细表》、委托人制定的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的各项条款。</w:t>
      </w:r>
    </w:p>
    <w:p w14:paraId="1BD5DD0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rPr>
        <w:t>、本场拍卖会，拍卖标的宣传资料（包括但不限于报纸、互联网等媒体发布的拍卖公告、拍卖标的宣传单、拍卖标的上的指示标签公告、拍卖行微信公众平台信息发布的文字、标的面积、标的图片资料）等仅供参考，标的按现状拍卖。标的勘察由买受人自行查证，买受人（或竞买人）确定同意认可标的的所有瑕疵后，方可参加竞买，拍卖人、委托人不承担标的任何担保责任。</w:t>
      </w:r>
    </w:p>
    <w:p w14:paraId="768DA6F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rPr>
        <w:t>、委托人所委托拍卖标的的权属清楚，</w:t>
      </w:r>
      <w:r>
        <w:rPr>
          <w:rFonts w:hint="eastAsia" w:ascii="仿宋_GB2312" w:hAnsi="仿宋_GB2312" w:eastAsia="仿宋_GB2312" w:cs="仿宋_GB2312"/>
          <w:b/>
          <w:bCs/>
          <w:color w:val="auto"/>
          <w:sz w:val="24"/>
          <w:szCs w:val="24"/>
          <w:highlight w:val="none"/>
        </w:rPr>
        <w:t>标的按现状拍卖</w:t>
      </w:r>
      <w:r>
        <w:rPr>
          <w:rFonts w:hint="eastAsia" w:ascii="仿宋_GB2312" w:hAnsi="仿宋_GB2312" w:eastAsia="仿宋_GB2312" w:cs="仿宋_GB2312"/>
          <w:color w:val="auto"/>
          <w:sz w:val="24"/>
          <w:szCs w:val="24"/>
          <w:highlight w:val="none"/>
        </w:rPr>
        <w:t>。同时按买受人与委托人签署的标的</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条款执行。</w:t>
      </w:r>
    </w:p>
    <w:p w14:paraId="334B45D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四</w:t>
      </w:r>
      <w:r>
        <w:rPr>
          <w:rFonts w:hint="eastAsia" w:ascii="仿宋_GB2312" w:hAnsi="仿宋_GB2312" w:eastAsia="仿宋_GB2312" w:cs="仿宋_GB2312"/>
          <w:color w:val="auto"/>
          <w:sz w:val="24"/>
          <w:szCs w:val="24"/>
          <w:highlight w:val="none"/>
        </w:rPr>
        <w:t>、本场《拍卖目录》中所涉及标的面积仅供参考。标的成交后，标的现提供的面积若与标的所在房屋产权部门提供出具的其他文件资料中记载的或以其他方式取得的房屋面积不符时，不影响标的拍卖成交结果、不影响标的租赁使用权成交价格，不多退少补。</w:t>
      </w:r>
    </w:p>
    <w:p w14:paraId="69C4447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五</w:t>
      </w:r>
      <w:r>
        <w:rPr>
          <w:rFonts w:hint="eastAsia" w:ascii="仿宋_GB2312" w:hAnsi="仿宋_GB2312" w:eastAsia="仿宋_GB2312" w:cs="仿宋_GB2312"/>
          <w:color w:val="auto"/>
          <w:sz w:val="24"/>
          <w:szCs w:val="24"/>
          <w:highlight w:val="none"/>
        </w:rPr>
        <w:t>、标的拍卖成交后2个工作日内，拍卖人将标的成交结果、买受人名单及联络信息报送给委托人</w:t>
      </w:r>
      <w:r>
        <w:rPr>
          <w:rFonts w:hint="eastAsia" w:ascii="仿宋_GB2312" w:hAnsi="仿宋_GB2312" w:eastAsia="仿宋_GB2312" w:cs="仿宋_GB2312"/>
          <w:color w:val="auto"/>
          <w:sz w:val="24"/>
          <w:szCs w:val="24"/>
          <w:highlight w:val="none"/>
          <w:u w:val="single"/>
        </w:rPr>
        <w:t>，并将买受人交纳的标的竞买保证金</w:t>
      </w:r>
      <w:r>
        <w:rPr>
          <w:rFonts w:hint="eastAsia" w:ascii="仿宋_GB2312" w:hAnsi="仿宋_GB2312" w:eastAsia="仿宋_GB2312" w:cs="仿宋_GB2312"/>
          <w:color w:val="auto"/>
          <w:sz w:val="24"/>
          <w:szCs w:val="24"/>
          <w:highlight w:val="none"/>
          <w:u w:val="single"/>
          <w:lang w:val="en-US" w:eastAsia="zh-CN"/>
        </w:rPr>
        <w:t>转账至委托人指定账户</w:t>
      </w:r>
      <w:r>
        <w:rPr>
          <w:rFonts w:hint="eastAsia" w:ascii="仿宋_GB2312" w:hAnsi="仿宋_GB2312" w:eastAsia="仿宋_GB2312" w:cs="仿宋_GB2312"/>
          <w:color w:val="auto"/>
          <w:sz w:val="24"/>
          <w:szCs w:val="24"/>
          <w:highlight w:val="none"/>
        </w:rPr>
        <w:t>后，拍卖人的拍卖工作</w:t>
      </w:r>
      <w:r>
        <w:rPr>
          <w:rFonts w:hint="eastAsia" w:ascii="仿宋_GB2312" w:hAnsi="仿宋_GB2312" w:eastAsia="仿宋_GB2312" w:cs="仿宋_GB2312"/>
          <w:color w:val="auto"/>
          <w:sz w:val="24"/>
          <w:szCs w:val="24"/>
          <w:highlight w:val="none"/>
          <w:lang w:val="en-US" w:eastAsia="zh-CN"/>
        </w:rPr>
        <w:t>视为</w:t>
      </w:r>
      <w:r>
        <w:rPr>
          <w:rFonts w:hint="eastAsia" w:ascii="仿宋_GB2312" w:hAnsi="仿宋_GB2312" w:eastAsia="仿宋_GB2312" w:cs="仿宋_GB2312"/>
          <w:color w:val="auto"/>
          <w:sz w:val="24"/>
          <w:szCs w:val="24"/>
          <w:highlight w:val="none"/>
        </w:rPr>
        <w:t>已完成。如因买受人或委托人原因，在租赁期限内提前终止租赁关系，买受人所交纳的拍卖佣金均不予返还。</w:t>
      </w:r>
    </w:p>
    <w:p w14:paraId="29837BD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六</w:t>
      </w:r>
      <w:r>
        <w:rPr>
          <w:rFonts w:hint="eastAsia" w:ascii="仿宋_GB2312" w:hAnsi="仿宋_GB2312" w:eastAsia="仿宋_GB2312" w:cs="仿宋_GB2312"/>
          <w:color w:val="auto"/>
          <w:sz w:val="24"/>
          <w:szCs w:val="24"/>
          <w:highlight w:val="none"/>
        </w:rPr>
        <w:t>、标的拍卖成交后，买受人凭《标的拍卖成交确认书》、《标的竞买登记单》原件，由委托人统一安排时间与买受人办理成交标的后续工作。包括但不限于：签署</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承租户消防安全责任书》、交纳标的第一年租赁使用权的租金（即标的成交款）、标的租赁质保金、办理标的移交入住等后续工作。买受人逾期办理，则视为买受人违约，买受人所交纳的标的成交款、标的成交价</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%拍卖佣金均不予退还。</w:t>
      </w:r>
    </w:p>
    <w:p w14:paraId="3433F06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七</w:t>
      </w:r>
      <w:r>
        <w:rPr>
          <w:rFonts w:hint="eastAsia" w:ascii="仿宋_GB2312" w:hAnsi="仿宋_GB2312" w:eastAsia="仿宋_GB2312" w:cs="仿宋_GB2312"/>
          <w:color w:val="auto"/>
          <w:sz w:val="24"/>
          <w:szCs w:val="24"/>
          <w:highlight w:val="none"/>
        </w:rPr>
        <w:t>、标的拍卖成交后，拍卖标的房屋配套设施及物品（包括但不限于供水、排水、供电、供暖、通讯以及门、窗等设施）按标的移交时现状交接，其他均按租赁合同执行。</w:t>
      </w:r>
    </w:p>
    <w:p w14:paraId="479A89D1">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八</w:t>
      </w:r>
      <w:r>
        <w:rPr>
          <w:rFonts w:hint="eastAsia" w:ascii="仿宋_GB2312" w:hAnsi="仿宋_GB2312" w:eastAsia="仿宋_GB2312" w:cs="仿宋_GB2312"/>
          <w:color w:val="auto"/>
          <w:sz w:val="24"/>
          <w:szCs w:val="24"/>
          <w:highlight w:val="none"/>
        </w:rPr>
        <w:t>、标的在拍卖成交前，因使用而发生前期欠缴的水电暖、物业费均按委托人与买受人签署的租赁合同执行。租赁期间由承租人负责资产的供暖、消防、水电、物业、网络、电话等费用，租赁期间由租赁双方承担各自应缴的税款。</w:t>
      </w:r>
    </w:p>
    <w:p w14:paraId="0EA5EE1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九</w:t>
      </w:r>
      <w:r>
        <w:rPr>
          <w:rFonts w:hint="eastAsia" w:ascii="仿宋_GB2312" w:hAnsi="仿宋_GB2312" w:eastAsia="仿宋_GB2312" w:cs="仿宋_GB2312"/>
          <w:b/>
          <w:bCs/>
          <w:color w:val="auto"/>
          <w:sz w:val="24"/>
          <w:szCs w:val="24"/>
          <w:highlight w:val="none"/>
        </w:rPr>
        <w:t>、标的拍卖成交后，如买受人未按委托人要求履行交款或违规或买受人未按期交齐拍卖成交款项（包括：标的拍卖成交价款、标的拍卖佣金），即视为违约。其所交纳的标的竞买保证金自动转为违约金，由拍卖人、委托人全权处置，不予退还。同时，委托人有权收回标的，并追究买受人由此而给委托人、拍卖人造成的损失及承担相应的责任。买受人逾期交纳标的成交款，委托人有权收回标的，重新委托拍卖人进行公开拍卖，买受人应按《中华人民共和国拍卖法》第三章第39条款相关规定履行，条款包括但不限于：“拍卖标的再行拍卖的，原买受人应当支付第一次拍卖中买受人及委托人应当支付的佣金。再行拍卖的价款低于原拍卖价款的，原买受人应当补足差额。如买受人未按期交齐拍卖成交款项（包括：标的拍卖成交价款、标的拍卖佣金），买受人所交纳的标的竞买保证金、已交纳的部分标的款等款项均将自动转为违约金，由委托人与拍卖人全权处置，不予退还。同时，追究买受人违约后，由此给委托人、拍卖人造成经济损失及承担相应的法律责任。</w:t>
      </w:r>
    </w:p>
    <w:p w14:paraId="0EAAE58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w:t>
      </w:r>
      <w:r>
        <w:rPr>
          <w:rFonts w:hint="eastAsia" w:ascii="仿宋_GB2312" w:hAnsi="仿宋_GB2312" w:eastAsia="仿宋_GB2312" w:cs="仿宋_GB2312"/>
          <w:color w:val="auto"/>
          <w:sz w:val="24"/>
          <w:szCs w:val="24"/>
          <w:highlight w:val="none"/>
        </w:rPr>
        <w:t>、竞价成交后，买受人以任何理由违约的，交纳的竞买保证金不予退还，本公司将依法对标的物再行处置，违约后重新处置的，原买受人不得参加竞买。</w:t>
      </w:r>
      <w:r>
        <w:rPr>
          <w:rFonts w:hint="eastAsia" w:ascii="仿宋_GB2312" w:hAnsi="仿宋_GB2312" w:eastAsia="仿宋_GB2312" w:cs="仿宋_GB2312"/>
          <w:color w:val="auto"/>
          <w:sz w:val="24"/>
          <w:szCs w:val="24"/>
          <w:highlight w:val="none"/>
          <w:lang w:val="en-US" w:eastAsia="zh-CN"/>
        </w:rPr>
        <w:t>另行拍卖成交后，扣除的竞买保证金无法覆盖全部的差额部分，由原买受人补足，我院保留起诉权利</w:t>
      </w:r>
      <w:r>
        <w:rPr>
          <w:rFonts w:hint="default" w:ascii="仿宋_GB2312" w:hAnsi="仿宋_GB2312" w:eastAsia="仿宋_GB2312" w:cs="仿宋_GB2312"/>
          <w:color w:val="auto"/>
          <w:sz w:val="24"/>
          <w:szCs w:val="24"/>
          <w:highlight w:val="none"/>
          <w:lang w:val="en-US" w:eastAsia="zh-CN"/>
        </w:rPr>
        <w:t>。同时，原买受人不得参与</w:t>
      </w:r>
      <w:r>
        <w:rPr>
          <w:rFonts w:hint="eastAsia" w:ascii="仿宋_GB2312" w:hAnsi="仿宋_GB2312" w:eastAsia="仿宋_GB2312" w:cs="仿宋_GB2312"/>
          <w:color w:val="auto"/>
          <w:sz w:val="24"/>
          <w:szCs w:val="24"/>
          <w:highlight w:val="none"/>
          <w:lang w:val="en-US" w:eastAsia="zh-CN"/>
        </w:rPr>
        <w:t>我院</w:t>
      </w:r>
      <w:r>
        <w:rPr>
          <w:rFonts w:hint="default" w:ascii="仿宋_GB2312" w:hAnsi="仿宋_GB2312" w:eastAsia="仿宋_GB2312" w:cs="仿宋_GB2312"/>
          <w:color w:val="auto"/>
          <w:sz w:val="24"/>
          <w:szCs w:val="24"/>
          <w:highlight w:val="none"/>
          <w:lang w:val="en-US" w:eastAsia="zh-CN"/>
        </w:rPr>
        <w:t>任意一轮竞拍，</w:t>
      </w:r>
      <w:r>
        <w:rPr>
          <w:rFonts w:hint="eastAsia" w:ascii="仿宋_GB2312" w:hAnsi="仿宋_GB2312" w:eastAsia="仿宋_GB2312" w:cs="仿宋_GB2312"/>
          <w:color w:val="auto"/>
          <w:sz w:val="24"/>
          <w:szCs w:val="24"/>
          <w:highlight w:val="none"/>
          <w:lang w:val="en-US" w:eastAsia="zh-CN"/>
        </w:rPr>
        <w:t>辽宁省拍卖行</w:t>
      </w:r>
      <w:r>
        <w:rPr>
          <w:rFonts w:hint="default" w:ascii="仿宋_GB2312" w:hAnsi="仿宋_GB2312" w:eastAsia="仿宋_GB2312" w:cs="仿宋_GB2312"/>
          <w:color w:val="auto"/>
          <w:sz w:val="24"/>
          <w:szCs w:val="24"/>
          <w:highlight w:val="none"/>
          <w:lang w:val="en-US" w:eastAsia="zh-CN"/>
        </w:rPr>
        <w:t>应配合</w:t>
      </w:r>
      <w:r>
        <w:rPr>
          <w:rFonts w:hint="eastAsia" w:ascii="仿宋_GB2312" w:hAnsi="仿宋_GB2312" w:eastAsia="仿宋_GB2312" w:cs="仿宋_GB2312"/>
          <w:color w:val="auto"/>
          <w:sz w:val="24"/>
          <w:szCs w:val="24"/>
          <w:highlight w:val="none"/>
          <w:lang w:val="en-US" w:eastAsia="zh-CN"/>
        </w:rPr>
        <w:t>我院</w:t>
      </w:r>
      <w:r>
        <w:rPr>
          <w:rFonts w:hint="default" w:ascii="仿宋_GB2312" w:hAnsi="仿宋_GB2312" w:eastAsia="仿宋_GB2312" w:cs="仿宋_GB2312"/>
          <w:color w:val="auto"/>
          <w:sz w:val="24"/>
          <w:szCs w:val="24"/>
          <w:highlight w:val="none"/>
          <w:lang w:val="en-US" w:eastAsia="zh-CN"/>
        </w:rPr>
        <w:t>将原买受人进行拉黑</w:t>
      </w:r>
      <w:r>
        <w:rPr>
          <w:rFonts w:hint="eastAsia" w:ascii="仿宋_GB2312" w:hAnsi="仿宋_GB2312" w:eastAsia="仿宋_GB2312" w:cs="仿宋_GB2312"/>
          <w:color w:val="auto"/>
          <w:sz w:val="24"/>
          <w:szCs w:val="24"/>
          <w:highlight w:val="none"/>
          <w:lang w:val="en-US" w:eastAsia="zh-CN"/>
        </w:rPr>
        <w:t>。</w:t>
      </w:r>
    </w:p>
    <w:p w14:paraId="4D3466B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十一</w:t>
      </w:r>
      <w:r>
        <w:rPr>
          <w:rFonts w:hint="eastAsia" w:ascii="仿宋_GB2312" w:hAnsi="仿宋_GB2312" w:eastAsia="仿宋_GB2312" w:cs="仿宋_GB2312"/>
          <w:color w:val="auto"/>
          <w:sz w:val="24"/>
          <w:szCs w:val="24"/>
          <w:highlight w:val="none"/>
        </w:rPr>
        <w:t>、根据《中华人民共和国拍卖法》的有关规定，本次拍卖的标的，委托人有权在拍卖会前撤拍或缓拍标的。</w:t>
      </w:r>
    </w:p>
    <w:p w14:paraId="6E54C82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十二</w:t>
      </w:r>
      <w:r>
        <w:rPr>
          <w:rFonts w:hint="eastAsia" w:ascii="仿宋_GB2312" w:hAnsi="仿宋_GB2312" w:eastAsia="仿宋_GB2312" w:cs="仿宋_GB2312"/>
          <w:color w:val="auto"/>
          <w:sz w:val="24"/>
          <w:szCs w:val="24"/>
          <w:highlight w:val="none"/>
        </w:rPr>
        <w:t>、本场拍卖会《拍卖规则》、《竞买注意事项》条款如有变更，以委托人与买受人签署</w:t>
      </w:r>
      <w:r>
        <w:rPr>
          <w:rFonts w:hint="eastAsia" w:ascii="仿宋_GB2312" w:hAnsi="仿宋_GB2312" w:eastAsia="仿宋_GB2312" w:cs="仿宋_GB2312"/>
          <w:color w:val="auto"/>
          <w:sz w:val="24"/>
          <w:szCs w:val="24"/>
          <w:highlight w:val="none"/>
          <w:lang w:val="en-US" w:eastAsia="zh-CN"/>
        </w:rPr>
        <w:t>相关合同</w:t>
      </w:r>
      <w:r>
        <w:rPr>
          <w:rFonts w:hint="eastAsia" w:ascii="仿宋_GB2312" w:hAnsi="仿宋_GB2312" w:eastAsia="仿宋_GB2312" w:cs="仿宋_GB2312"/>
          <w:color w:val="auto"/>
          <w:sz w:val="24"/>
          <w:szCs w:val="24"/>
          <w:highlight w:val="none"/>
        </w:rPr>
        <w:t>条款为准，并具有同等法律效力。</w:t>
      </w:r>
    </w:p>
    <w:p w14:paraId="45420CB4">
      <w:pPr>
        <w:rPr>
          <w:rFonts w:hint="eastAsia" w:ascii="仿宋_GB2312" w:hAnsi="仿宋_GB2312" w:eastAsia="仿宋_GB2312" w:cs="仿宋_GB2312"/>
          <w:color w:val="auto"/>
          <w:sz w:val="24"/>
          <w:szCs w:val="24"/>
          <w:highlight w:val="none"/>
        </w:rPr>
      </w:pPr>
    </w:p>
    <w:p w14:paraId="37C85E6D">
      <w:pPr>
        <w:rPr>
          <w:rFonts w:hint="eastAsia" w:ascii="仿宋_GB2312" w:hAnsi="仿宋_GB2312" w:eastAsia="仿宋_GB2312" w:cs="仿宋_GB2312"/>
          <w:color w:val="auto"/>
          <w:sz w:val="24"/>
          <w:szCs w:val="24"/>
          <w:highlight w:val="none"/>
        </w:rPr>
      </w:pPr>
    </w:p>
    <w:p w14:paraId="7A53AD29">
      <w:pPr>
        <w:rPr>
          <w:rFonts w:hint="eastAsia" w:ascii="仿宋_GB2312" w:hAnsi="仿宋_GB2312" w:eastAsia="仿宋_GB2312" w:cs="仿宋_GB2312"/>
          <w:color w:val="auto"/>
          <w:sz w:val="24"/>
          <w:szCs w:val="24"/>
          <w:highlight w:val="none"/>
        </w:rPr>
      </w:pPr>
    </w:p>
    <w:p w14:paraId="501D2C04">
      <w:pPr>
        <w:ind w:firstLine="3614" w:firstLineChars="1500"/>
        <w:jc w:val="center"/>
        <w:rPr>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 xml:space="preserve">      </w:t>
      </w:r>
      <w:r>
        <w:rPr>
          <w:rFonts w:hint="eastAsia" w:ascii="仿宋_GB2312" w:hAnsi="仿宋_GB2312" w:eastAsia="仿宋_GB2312" w:cs="仿宋_GB2312"/>
          <w:b/>
          <w:bCs/>
          <w:color w:val="auto"/>
          <w:sz w:val="24"/>
          <w:szCs w:val="24"/>
          <w:highlight w:val="none"/>
        </w:rPr>
        <w:t>辽宁省拍卖行</w:t>
      </w:r>
    </w:p>
    <w:p w14:paraId="2CAA28B6">
      <w:pPr>
        <w:rPr>
          <w:color w:val="auto"/>
          <w:sz w:val="24"/>
          <w:szCs w:val="24"/>
          <w:highlight w:val="none"/>
        </w:rPr>
      </w:pPr>
    </w:p>
    <w:p w14:paraId="7BD7BB9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color w:val="auto"/>
          <w:sz w:val="32"/>
          <w:szCs w:val="32"/>
          <w:highlight w:val="none"/>
          <w:shd w:val="clear" w:color="auto" w:fill="FFFFFF"/>
        </w:rPr>
      </w:pPr>
    </w:p>
    <w:sectPr>
      <w:footerReference r:id="rId3" w:type="default"/>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小标宋">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00600940"/>
      <w:docPartObj>
        <w:docPartGallery w:val="autotext"/>
      </w:docPartObj>
    </w:sdtPr>
    <w:sdtContent>
      <w:p w14:paraId="1859CE38">
        <w:pPr>
          <w:pStyle w:val="2"/>
          <w:jc w:val="center"/>
        </w:pPr>
        <w:r>
          <w:fldChar w:fldCharType="begin"/>
        </w:r>
        <w:r>
          <w:instrText xml:space="preserve">PAGE   \* MERGEFORMAT</w:instrText>
        </w:r>
        <w:r>
          <w:fldChar w:fldCharType="separate"/>
        </w:r>
        <w:r>
          <w:rPr>
            <w:lang w:val="zh-CN"/>
          </w:rPr>
          <w:t>2</w:t>
        </w:r>
        <w:r>
          <w:fldChar w:fldCharType="end"/>
        </w:r>
      </w:p>
    </w:sdtContent>
  </w:sdt>
  <w:p w14:paraId="3FAEAB3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5BFD06B9"/>
    <w:rsid w:val="00010172"/>
    <w:rsid w:val="00163A46"/>
    <w:rsid w:val="001A34E4"/>
    <w:rsid w:val="00282BFF"/>
    <w:rsid w:val="002D51A8"/>
    <w:rsid w:val="00440483"/>
    <w:rsid w:val="005F10A4"/>
    <w:rsid w:val="006771DF"/>
    <w:rsid w:val="00687783"/>
    <w:rsid w:val="00961E49"/>
    <w:rsid w:val="00A61C16"/>
    <w:rsid w:val="00AA4597"/>
    <w:rsid w:val="00C31AC5"/>
    <w:rsid w:val="00D10714"/>
    <w:rsid w:val="00D17488"/>
    <w:rsid w:val="00D706CA"/>
    <w:rsid w:val="00FC206D"/>
    <w:rsid w:val="00FF4B89"/>
    <w:rsid w:val="0224187C"/>
    <w:rsid w:val="03C055D4"/>
    <w:rsid w:val="04185410"/>
    <w:rsid w:val="064C314F"/>
    <w:rsid w:val="06540256"/>
    <w:rsid w:val="06C54CB0"/>
    <w:rsid w:val="06FE6B3F"/>
    <w:rsid w:val="07177C01"/>
    <w:rsid w:val="07E73857"/>
    <w:rsid w:val="08412CE0"/>
    <w:rsid w:val="08872B64"/>
    <w:rsid w:val="08A6123D"/>
    <w:rsid w:val="08C07E24"/>
    <w:rsid w:val="08FD6983"/>
    <w:rsid w:val="092B1742"/>
    <w:rsid w:val="0A0A1357"/>
    <w:rsid w:val="0A1D552E"/>
    <w:rsid w:val="0A606CBF"/>
    <w:rsid w:val="0ABD0ABF"/>
    <w:rsid w:val="0C3721AC"/>
    <w:rsid w:val="0C593243"/>
    <w:rsid w:val="0C85560D"/>
    <w:rsid w:val="0CC7352F"/>
    <w:rsid w:val="0DB04356"/>
    <w:rsid w:val="0E353A99"/>
    <w:rsid w:val="0E511C4A"/>
    <w:rsid w:val="0EFDFDB7"/>
    <w:rsid w:val="10671C6B"/>
    <w:rsid w:val="111D5E14"/>
    <w:rsid w:val="11301FEB"/>
    <w:rsid w:val="115E3F05"/>
    <w:rsid w:val="11851C0B"/>
    <w:rsid w:val="11DB2A76"/>
    <w:rsid w:val="11DF131B"/>
    <w:rsid w:val="11FF376C"/>
    <w:rsid w:val="12346DF2"/>
    <w:rsid w:val="12411FD6"/>
    <w:rsid w:val="13541895"/>
    <w:rsid w:val="1468384A"/>
    <w:rsid w:val="16730284"/>
    <w:rsid w:val="171312EE"/>
    <w:rsid w:val="17742506"/>
    <w:rsid w:val="18341702"/>
    <w:rsid w:val="18383533"/>
    <w:rsid w:val="19ED659F"/>
    <w:rsid w:val="19EE62D2"/>
    <w:rsid w:val="19FD4A34"/>
    <w:rsid w:val="1A240213"/>
    <w:rsid w:val="1C485D0F"/>
    <w:rsid w:val="1E892D3B"/>
    <w:rsid w:val="1EB0204C"/>
    <w:rsid w:val="1FC3402A"/>
    <w:rsid w:val="1FE77023"/>
    <w:rsid w:val="1FFE5062"/>
    <w:rsid w:val="20A420AE"/>
    <w:rsid w:val="231611AF"/>
    <w:rsid w:val="234E4553"/>
    <w:rsid w:val="23967A2B"/>
    <w:rsid w:val="25905609"/>
    <w:rsid w:val="262E5023"/>
    <w:rsid w:val="27AF30E6"/>
    <w:rsid w:val="27C80174"/>
    <w:rsid w:val="2A4060BB"/>
    <w:rsid w:val="2A573CED"/>
    <w:rsid w:val="2A816FBC"/>
    <w:rsid w:val="2AA869CC"/>
    <w:rsid w:val="2B606BD1"/>
    <w:rsid w:val="2B6A5CA2"/>
    <w:rsid w:val="2BFC0FF0"/>
    <w:rsid w:val="2C950AFD"/>
    <w:rsid w:val="2CE85116"/>
    <w:rsid w:val="2CFF241A"/>
    <w:rsid w:val="2D6A2F9C"/>
    <w:rsid w:val="2D984D48"/>
    <w:rsid w:val="2DA07759"/>
    <w:rsid w:val="2E76495E"/>
    <w:rsid w:val="2EB536D8"/>
    <w:rsid w:val="2F336BB4"/>
    <w:rsid w:val="2F74581B"/>
    <w:rsid w:val="2FB7CBE1"/>
    <w:rsid w:val="3024735B"/>
    <w:rsid w:val="30553491"/>
    <w:rsid w:val="338D69D1"/>
    <w:rsid w:val="33DD4FA2"/>
    <w:rsid w:val="35040F15"/>
    <w:rsid w:val="351F3659"/>
    <w:rsid w:val="35870802"/>
    <w:rsid w:val="359C114E"/>
    <w:rsid w:val="36785717"/>
    <w:rsid w:val="39C62C3D"/>
    <w:rsid w:val="3AC76C6D"/>
    <w:rsid w:val="3ACC7DDF"/>
    <w:rsid w:val="3B334302"/>
    <w:rsid w:val="3B7641EF"/>
    <w:rsid w:val="3B9308FD"/>
    <w:rsid w:val="3C1732DC"/>
    <w:rsid w:val="3C7E335B"/>
    <w:rsid w:val="3CE07B72"/>
    <w:rsid w:val="3D9F5C7F"/>
    <w:rsid w:val="3DB93ADD"/>
    <w:rsid w:val="3EE63E0C"/>
    <w:rsid w:val="3F533E4C"/>
    <w:rsid w:val="3F984734"/>
    <w:rsid w:val="3FF6875E"/>
    <w:rsid w:val="405A143A"/>
    <w:rsid w:val="413C315C"/>
    <w:rsid w:val="41456B3D"/>
    <w:rsid w:val="42BF647C"/>
    <w:rsid w:val="434B7D0F"/>
    <w:rsid w:val="438020AF"/>
    <w:rsid w:val="44CC6C2E"/>
    <w:rsid w:val="44D35B89"/>
    <w:rsid w:val="45F17926"/>
    <w:rsid w:val="465D0485"/>
    <w:rsid w:val="46733805"/>
    <w:rsid w:val="47170634"/>
    <w:rsid w:val="47394A4E"/>
    <w:rsid w:val="47D77DC3"/>
    <w:rsid w:val="485E13F0"/>
    <w:rsid w:val="493354CD"/>
    <w:rsid w:val="496B4C67"/>
    <w:rsid w:val="4970227E"/>
    <w:rsid w:val="49D5663E"/>
    <w:rsid w:val="4A0D5D1E"/>
    <w:rsid w:val="4A45370A"/>
    <w:rsid w:val="4A471230"/>
    <w:rsid w:val="4A7236B8"/>
    <w:rsid w:val="4A9106FD"/>
    <w:rsid w:val="4B2B6DA4"/>
    <w:rsid w:val="4C9B3AB5"/>
    <w:rsid w:val="4DF16D57"/>
    <w:rsid w:val="4E0336C0"/>
    <w:rsid w:val="4F2A14D9"/>
    <w:rsid w:val="50057AD7"/>
    <w:rsid w:val="502142D2"/>
    <w:rsid w:val="52230C7A"/>
    <w:rsid w:val="52232B0D"/>
    <w:rsid w:val="526F1DF6"/>
    <w:rsid w:val="53E915AA"/>
    <w:rsid w:val="54177EC5"/>
    <w:rsid w:val="54330A77"/>
    <w:rsid w:val="544E100F"/>
    <w:rsid w:val="5458228C"/>
    <w:rsid w:val="55EA573B"/>
    <w:rsid w:val="56AF6ADB"/>
    <w:rsid w:val="56F73FDE"/>
    <w:rsid w:val="56FC33A3"/>
    <w:rsid w:val="57030BD5"/>
    <w:rsid w:val="572D17AE"/>
    <w:rsid w:val="576143E1"/>
    <w:rsid w:val="583354EA"/>
    <w:rsid w:val="58A64F81"/>
    <w:rsid w:val="590B5B1F"/>
    <w:rsid w:val="5932754F"/>
    <w:rsid w:val="598F04FE"/>
    <w:rsid w:val="59E06FAB"/>
    <w:rsid w:val="5A34228F"/>
    <w:rsid w:val="5A7D47FA"/>
    <w:rsid w:val="5AF26F96"/>
    <w:rsid w:val="5B0647F0"/>
    <w:rsid w:val="5BAB713D"/>
    <w:rsid w:val="5BC76675"/>
    <w:rsid w:val="5BFD06B9"/>
    <w:rsid w:val="5BFE2B05"/>
    <w:rsid w:val="5C675D1D"/>
    <w:rsid w:val="5CCD7D10"/>
    <w:rsid w:val="5D3471F3"/>
    <w:rsid w:val="5D7F0889"/>
    <w:rsid w:val="5E162F9C"/>
    <w:rsid w:val="5E5A37D0"/>
    <w:rsid w:val="5EAF9950"/>
    <w:rsid w:val="5EE906B0"/>
    <w:rsid w:val="5F1D1DBA"/>
    <w:rsid w:val="5F4E6765"/>
    <w:rsid w:val="60C141D6"/>
    <w:rsid w:val="620B49C3"/>
    <w:rsid w:val="62A0552A"/>
    <w:rsid w:val="642B176B"/>
    <w:rsid w:val="66173D55"/>
    <w:rsid w:val="6692162D"/>
    <w:rsid w:val="66D734E4"/>
    <w:rsid w:val="67D87514"/>
    <w:rsid w:val="682E10CD"/>
    <w:rsid w:val="68B43ADD"/>
    <w:rsid w:val="69777577"/>
    <w:rsid w:val="6A1C5DDE"/>
    <w:rsid w:val="6ABA5C34"/>
    <w:rsid w:val="6ADF6F42"/>
    <w:rsid w:val="6B8053BB"/>
    <w:rsid w:val="6BE75F78"/>
    <w:rsid w:val="6BEE5558"/>
    <w:rsid w:val="6CF605CD"/>
    <w:rsid w:val="6D7A3717"/>
    <w:rsid w:val="6EBA5BC5"/>
    <w:rsid w:val="6F795A80"/>
    <w:rsid w:val="6F7D4631"/>
    <w:rsid w:val="6FE0340A"/>
    <w:rsid w:val="704936A5"/>
    <w:rsid w:val="7080699B"/>
    <w:rsid w:val="72C2773E"/>
    <w:rsid w:val="735C724B"/>
    <w:rsid w:val="73B40E35"/>
    <w:rsid w:val="73CD1EF7"/>
    <w:rsid w:val="744D3038"/>
    <w:rsid w:val="747563F0"/>
    <w:rsid w:val="74CE5F27"/>
    <w:rsid w:val="751D0DD1"/>
    <w:rsid w:val="75222C62"/>
    <w:rsid w:val="754601B3"/>
    <w:rsid w:val="758111EB"/>
    <w:rsid w:val="76C53359"/>
    <w:rsid w:val="76ED27A0"/>
    <w:rsid w:val="76F53393"/>
    <w:rsid w:val="775A7F45"/>
    <w:rsid w:val="78966890"/>
    <w:rsid w:val="78CDE95E"/>
    <w:rsid w:val="790A14F7"/>
    <w:rsid w:val="79112886"/>
    <w:rsid w:val="79393B8B"/>
    <w:rsid w:val="79BA116F"/>
    <w:rsid w:val="7AEA15E0"/>
    <w:rsid w:val="7BA7127F"/>
    <w:rsid w:val="7BFCA99B"/>
    <w:rsid w:val="7D777A49"/>
    <w:rsid w:val="7DA0242A"/>
    <w:rsid w:val="7DBA7990"/>
    <w:rsid w:val="7DE1316F"/>
    <w:rsid w:val="7E633B84"/>
    <w:rsid w:val="7E6F784D"/>
    <w:rsid w:val="7E786F03"/>
    <w:rsid w:val="7EFE47AA"/>
    <w:rsid w:val="7EFE79EB"/>
    <w:rsid w:val="7F6F2D2E"/>
    <w:rsid w:val="7FCF64EE"/>
    <w:rsid w:val="92EFD76E"/>
    <w:rsid w:val="AF7E3315"/>
    <w:rsid w:val="BFAF4AFA"/>
    <w:rsid w:val="DBF826EA"/>
    <w:rsid w:val="DCFFC42A"/>
    <w:rsid w:val="DF776308"/>
    <w:rsid w:val="FB5F43C7"/>
    <w:rsid w:val="FE5E4EB3"/>
    <w:rsid w:val="FEEF24B5"/>
    <w:rsid w:val="FF7FFC21"/>
    <w:rsid w:val="FFAB84B6"/>
    <w:rsid w:val="FFEF756A"/>
    <w:rsid w:val="FFFB49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styleId="9">
    <w:name w:val="Hyperlink"/>
    <w:basedOn w:val="7"/>
    <w:unhideWhenUsed/>
    <w:qFormat/>
    <w:uiPriority w:val="99"/>
    <w:rPr>
      <w:color w:val="0026E5" w:themeColor="hyperlink"/>
      <w:u w:val="single"/>
      <w14:textFill>
        <w14:solidFill>
          <w14:schemeClr w14:val="hlink"/>
        </w14:solidFill>
      </w14:textFill>
    </w:rPr>
  </w:style>
  <w:style w:type="table" w:customStyle="1" w:styleId="10">
    <w:name w:val="Table Normal"/>
    <w:semiHidden/>
    <w:unhideWhenUsed/>
    <w:qFormat/>
    <w:uiPriority w:val="0"/>
    <w:tblPr>
      <w:tblCellMar>
        <w:top w:w="0" w:type="dxa"/>
        <w:left w:w="0" w:type="dxa"/>
        <w:bottom w:w="0" w:type="dxa"/>
        <w:right w:w="0" w:type="dxa"/>
      </w:tblCellMar>
    </w:tblPr>
  </w:style>
  <w:style w:type="character" w:customStyle="1" w:styleId="11">
    <w:name w:val="页脚 字符"/>
    <w:basedOn w:val="7"/>
    <w:link w:val="2"/>
    <w:qFormat/>
    <w:uiPriority w:val="99"/>
    <w:rPr>
      <w:rFonts w:asciiTheme="minorHAnsi" w:hAnsiTheme="minorHAnsi" w:eastAsiaTheme="minorEastAsia" w:cstheme="minorBidi"/>
      <w:kern w:val="2"/>
      <w:sz w:val="18"/>
      <w:szCs w:val="24"/>
    </w:rPr>
  </w:style>
  <w:style w:type="paragraph" w:customStyle="1" w:styleId="12">
    <w:name w:val="4-5-br"/>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13">
    <w:name w:val="6"/>
    <w:basedOn w:val="7"/>
    <w:qFormat/>
    <w:uiPriority w:val="0"/>
  </w:style>
  <w:style w:type="character" w:customStyle="1" w:styleId="14">
    <w:name w:val="font41"/>
    <w:basedOn w:val="7"/>
    <w:qFormat/>
    <w:uiPriority w:val="0"/>
    <w:rPr>
      <w:rFonts w:hint="eastAsia" w:ascii="宋体" w:hAnsi="宋体" w:eastAsia="宋体" w:cs="宋体"/>
      <w:color w:val="000000"/>
      <w:sz w:val="24"/>
      <w:szCs w:val="24"/>
      <w:u w:val="none"/>
    </w:rPr>
  </w:style>
  <w:style w:type="character" w:customStyle="1" w:styleId="15">
    <w:name w:val="font21"/>
    <w:basedOn w:val="7"/>
    <w:qFormat/>
    <w:uiPriority w:val="0"/>
    <w:rPr>
      <w:rFonts w:hint="eastAsia" w:ascii="仿宋_GB2312" w:eastAsia="仿宋_GB2312" w:cs="仿宋_GB2312"/>
      <w:color w:val="000000"/>
      <w:sz w:val="24"/>
      <w:szCs w:val="24"/>
      <w:u w:val="none"/>
    </w:rPr>
  </w:style>
  <w:style w:type="character" w:customStyle="1" w:styleId="16">
    <w:name w:val="font31"/>
    <w:basedOn w:val="7"/>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6668</Words>
  <Characters>6884</Characters>
  <Lines>12</Lines>
  <Paragraphs>3</Paragraphs>
  <TotalTime>61</TotalTime>
  <ScaleCrop>false</ScaleCrop>
  <LinksUpToDate>false</LinksUpToDate>
  <CharactersWithSpaces>6929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2024-09-19T06:59:00Z</dcterms:created>
  <dc:creator>山羊</dc:creator>
  <cp:lastModifiedBy> 小萍萍殿下</cp:lastModifiedBy>
  <cp:lastPrinted>2024-09-19T09:11:00Z</cp:lastPrinted>
  <dcterms:modified xsi:type="dcterms:W3CDTF">2025-01-05T11:08:19Z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F34BBC079CFE4834BB2128FA78373CF8_13</vt:lpwstr>
  </property>
  <property fmtid="{D5CDD505-2E9C-101B-9397-08002B2CF9AE}" pid="4" name="KSOTemplateDocerSaveRecord">
    <vt:lpwstr>eyJoZGlkIjoiN2YzNjBkOTgyNWQ1YTMxYzM3MzMwNWFiODNmOWIzYWMiLCJ1c2VySWQiOiIyNTM2OTI5MjgifQ==</vt:lpwstr>
  </property>
</Properties>
</file>